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B" w:rsidRDefault="0081395B" w:rsidP="009952B8">
      <w:pPr>
        <w:jc w:val="center"/>
        <w:rPr>
          <w:b/>
          <w:i/>
          <w:sz w:val="24"/>
        </w:rPr>
      </w:pPr>
      <w:r w:rsidRPr="00D85822">
        <w:rPr>
          <w:b/>
          <w:i/>
          <w:sz w:val="24"/>
        </w:rPr>
        <w:t xml:space="preserve">Report </w:t>
      </w:r>
      <w:r w:rsidR="00522678">
        <w:rPr>
          <w:b/>
          <w:i/>
          <w:sz w:val="24"/>
        </w:rPr>
        <w:t xml:space="preserve">to ULTC </w:t>
      </w:r>
      <w:r w:rsidRPr="00D85822">
        <w:rPr>
          <w:b/>
          <w:i/>
          <w:sz w:val="24"/>
        </w:rPr>
        <w:t>on Education for Sustainability activity</w:t>
      </w:r>
      <w:r w:rsidR="000107CF">
        <w:rPr>
          <w:b/>
          <w:i/>
          <w:sz w:val="24"/>
        </w:rPr>
        <w:t xml:space="preserve"> 2014-15</w:t>
      </w:r>
    </w:p>
    <w:p w:rsidR="000107CF" w:rsidRPr="002134CC" w:rsidRDefault="000107CF" w:rsidP="00AC7FE0">
      <w:pPr>
        <w:pStyle w:val="ListParagraph"/>
        <w:numPr>
          <w:ilvl w:val="0"/>
          <w:numId w:val="1"/>
        </w:numPr>
        <w:ind w:left="284" w:hanging="284"/>
        <w:rPr>
          <w:b/>
        </w:rPr>
      </w:pPr>
      <w:r w:rsidRPr="002134CC">
        <w:rPr>
          <w:b/>
        </w:rPr>
        <w:t>Background</w:t>
      </w:r>
    </w:p>
    <w:p w:rsidR="00F57FCB" w:rsidRPr="002134CC" w:rsidRDefault="00F57FCB" w:rsidP="00F57FCB">
      <w:r w:rsidRPr="002134CC">
        <w:t xml:space="preserve">In 2011 </w:t>
      </w:r>
      <w:proofErr w:type="spellStart"/>
      <w:r w:rsidRPr="002134CC">
        <w:t>Keele</w:t>
      </w:r>
      <w:proofErr w:type="spellEnd"/>
      <w:r w:rsidRPr="002134CC">
        <w:t xml:space="preserve"> was one of eight HEIs that took part in the HEA’s pilot change programme ‘Green Academy’.  This programme aimed to support HEIs to embed sustainability in the curriculum, and make whole institutional change.  </w:t>
      </w:r>
      <w:r w:rsidR="00BC76B8" w:rsidRPr="002134CC">
        <w:t xml:space="preserve">As a result of this an Education for Sustainability </w:t>
      </w:r>
      <w:r w:rsidR="00681A4B">
        <w:t>(</w:t>
      </w:r>
      <w:proofErr w:type="spellStart"/>
      <w:r w:rsidR="00681A4B">
        <w:t>EfS</w:t>
      </w:r>
      <w:proofErr w:type="spellEnd"/>
      <w:r w:rsidR="00681A4B">
        <w:t xml:space="preserve">, also referred to as Education for Sustainable development, ESD) </w:t>
      </w:r>
      <w:r w:rsidR="00BC76B8" w:rsidRPr="002134CC">
        <w:t>team was established with t</w:t>
      </w:r>
      <w:r w:rsidRPr="002134CC">
        <w:t xml:space="preserve">he remit to support the embedding of sustainability in the curriculum and wider student experience, and to support wider university sustainability initiatives.  </w:t>
      </w:r>
      <w:r w:rsidR="00BC76B8" w:rsidRPr="002134CC">
        <w:t xml:space="preserve">The overall </w:t>
      </w:r>
      <w:proofErr w:type="gramStart"/>
      <w:r w:rsidR="00BC76B8" w:rsidRPr="002134CC">
        <w:t>approach,</w:t>
      </w:r>
      <w:proofErr w:type="gramEnd"/>
      <w:r w:rsidR="00BC76B8" w:rsidRPr="002134CC">
        <w:t xml:space="preserve"> is one of integration, making sustainability part of the activities and operations of the university, rather than through the delivery of discrete </w:t>
      </w:r>
      <w:r w:rsidR="00681A4B">
        <w:t xml:space="preserve">sustainability </w:t>
      </w:r>
      <w:r w:rsidR="00BC76B8" w:rsidRPr="002134CC">
        <w:t>project</w:t>
      </w:r>
      <w:r w:rsidR="00681A4B">
        <w:t>s</w:t>
      </w:r>
      <w:r w:rsidR="00BC76B8" w:rsidRPr="002134CC">
        <w:t>.</w:t>
      </w:r>
    </w:p>
    <w:p w:rsidR="00B5764A" w:rsidRPr="002134CC" w:rsidRDefault="00B5764A" w:rsidP="00B5764A">
      <w:pPr>
        <w:autoSpaceDE w:val="0"/>
        <w:autoSpaceDN w:val="0"/>
        <w:adjustRightInd w:val="0"/>
        <w:spacing w:after="0" w:line="240" w:lineRule="auto"/>
      </w:pPr>
      <w:r w:rsidRPr="002134CC">
        <w:t xml:space="preserve">The QAA definition of Education for Sustainable Development (ESD) published in 2014 shows that it </w:t>
      </w:r>
      <w:r w:rsidR="00F57FCB" w:rsidRPr="002134CC">
        <w:t xml:space="preserve">is about more than just the environment, incorporating social, economic and ethical issues as well. </w:t>
      </w:r>
      <w:r w:rsidRPr="002134CC">
        <w:t>According to the QAA (2014):</w:t>
      </w:r>
    </w:p>
    <w:p w:rsidR="00B5764A" w:rsidRPr="002134CC" w:rsidRDefault="00B5764A" w:rsidP="00B5764A">
      <w:pPr>
        <w:autoSpaceDE w:val="0"/>
        <w:autoSpaceDN w:val="0"/>
        <w:adjustRightInd w:val="0"/>
        <w:spacing w:after="0" w:line="240" w:lineRule="auto"/>
      </w:pPr>
    </w:p>
    <w:p w:rsidR="00B5764A" w:rsidRPr="002134CC" w:rsidRDefault="00B5764A" w:rsidP="00B5764A">
      <w:pPr>
        <w:autoSpaceDE w:val="0"/>
        <w:autoSpaceDN w:val="0"/>
        <w:adjustRightInd w:val="0"/>
        <w:spacing w:after="0" w:line="240" w:lineRule="auto"/>
        <w:rPr>
          <w:rFonts w:cs="Arial"/>
        </w:rPr>
      </w:pPr>
      <w:r w:rsidRPr="002134CC">
        <w:rPr>
          <w:rFonts w:cs="Arial"/>
        </w:rPr>
        <w:t>Education for sustainable development means wor</w:t>
      </w:r>
      <w:r w:rsidRPr="002134CC">
        <w:rPr>
          <w:rFonts w:cs="Arial"/>
        </w:rPr>
        <w:t xml:space="preserve">king with students to encourage </w:t>
      </w:r>
      <w:r w:rsidRPr="002134CC">
        <w:rPr>
          <w:rFonts w:cs="Arial"/>
        </w:rPr>
        <w:t>them to:</w:t>
      </w:r>
    </w:p>
    <w:p w:rsidR="00B5764A" w:rsidRPr="002134CC" w:rsidRDefault="00B5764A" w:rsidP="00B5764A">
      <w:pPr>
        <w:pStyle w:val="ListParagraph"/>
        <w:numPr>
          <w:ilvl w:val="0"/>
          <w:numId w:val="4"/>
        </w:numPr>
        <w:autoSpaceDE w:val="0"/>
        <w:autoSpaceDN w:val="0"/>
        <w:adjustRightInd w:val="0"/>
        <w:spacing w:after="0" w:line="240" w:lineRule="auto"/>
        <w:rPr>
          <w:rFonts w:cs="Arial"/>
        </w:rPr>
      </w:pPr>
      <w:r w:rsidRPr="002134CC">
        <w:rPr>
          <w:rFonts w:cs="Arial"/>
        </w:rPr>
        <w:t xml:space="preserve">consider what the concept of </w:t>
      </w:r>
      <w:r w:rsidRPr="002134CC">
        <w:rPr>
          <w:rFonts w:cs="Arial"/>
          <w:b/>
          <w:bCs/>
        </w:rPr>
        <w:t xml:space="preserve">global citizenship </w:t>
      </w:r>
      <w:r w:rsidRPr="002134CC">
        <w:rPr>
          <w:rFonts w:cs="Arial"/>
        </w:rPr>
        <w:t>me</w:t>
      </w:r>
      <w:r w:rsidRPr="002134CC">
        <w:rPr>
          <w:rFonts w:cs="Arial"/>
        </w:rPr>
        <w:t xml:space="preserve">ans in the context of their own </w:t>
      </w:r>
      <w:r w:rsidRPr="002134CC">
        <w:rPr>
          <w:rFonts w:cs="Arial"/>
        </w:rPr>
        <w:t>discipline and in their future professional and personal lives</w:t>
      </w:r>
    </w:p>
    <w:p w:rsidR="00B5764A" w:rsidRPr="002134CC" w:rsidRDefault="00B5764A" w:rsidP="00B5764A">
      <w:pPr>
        <w:pStyle w:val="ListParagraph"/>
        <w:numPr>
          <w:ilvl w:val="0"/>
          <w:numId w:val="4"/>
        </w:numPr>
        <w:autoSpaceDE w:val="0"/>
        <w:autoSpaceDN w:val="0"/>
        <w:adjustRightInd w:val="0"/>
        <w:spacing w:after="0" w:line="240" w:lineRule="auto"/>
        <w:rPr>
          <w:rFonts w:cs="Arial"/>
        </w:rPr>
      </w:pPr>
      <w:r w:rsidRPr="002134CC">
        <w:rPr>
          <w:rFonts w:cs="Arial"/>
        </w:rPr>
        <w:t xml:space="preserve">consider what the concept of </w:t>
      </w:r>
      <w:r w:rsidRPr="002134CC">
        <w:rPr>
          <w:rFonts w:cs="Arial"/>
          <w:b/>
          <w:bCs/>
        </w:rPr>
        <w:t xml:space="preserve">environmental stewardship </w:t>
      </w:r>
      <w:r w:rsidRPr="002134CC">
        <w:rPr>
          <w:rFonts w:cs="Arial"/>
        </w:rPr>
        <w:t xml:space="preserve">means in the context of </w:t>
      </w:r>
      <w:r w:rsidRPr="002134CC">
        <w:rPr>
          <w:rFonts w:cs="Arial"/>
        </w:rPr>
        <w:t>their own discipline and in their future professional and personal lives</w:t>
      </w:r>
    </w:p>
    <w:p w:rsidR="00B5764A" w:rsidRPr="002134CC" w:rsidRDefault="00B5764A" w:rsidP="00B5764A">
      <w:pPr>
        <w:pStyle w:val="ListParagraph"/>
        <w:numPr>
          <w:ilvl w:val="0"/>
          <w:numId w:val="4"/>
        </w:numPr>
        <w:autoSpaceDE w:val="0"/>
        <w:autoSpaceDN w:val="0"/>
        <w:adjustRightInd w:val="0"/>
        <w:spacing w:after="0" w:line="240" w:lineRule="auto"/>
        <w:rPr>
          <w:rFonts w:cs="Arial"/>
        </w:rPr>
      </w:pPr>
      <w:r w:rsidRPr="002134CC">
        <w:rPr>
          <w:rFonts w:cs="Arial"/>
        </w:rPr>
        <w:t xml:space="preserve">think about issues of </w:t>
      </w:r>
      <w:r w:rsidRPr="002134CC">
        <w:rPr>
          <w:rFonts w:cs="Arial"/>
          <w:b/>
          <w:bCs/>
        </w:rPr>
        <w:t>social justice, ethics and wellbeing</w:t>
      </w:r>
      <w:r w:rsidRPr="002134CC">
        <w:rPr>
          <w:rFonts w:cs="Arial"/>
        </w:rPr>
        <w:t xml:space="preserve">, and how these relate to </w:t>
      </w:r>
      <w:r w:rsidRPr="002134CC">
        <w:rPr>
          <w:rFonts w:cs="Arial"/>
        </w:rPr>
        <w:t>ecological and economic factors</w:t>
      </w:r>
    </w:p>
    <w:p w:rsidR="00B5764A" w:rsidRPr="002134CC" w:rsidRDefault="00B5764A" w:rsidP="00B5764A">
      <w:pPr>
        <w:pStyle w:val="ListParagraph"/>
        <w:numPr>
          <w:ilvl w:val="0"/>
          <w:numId w:val="4"/>
        </w:numPr>
        <w:autoSpaceDE w:val="0"/>
        <w:autoSpaceDN w:val="0"/>
        <w:adjustRightInd w:val="0"/>
        <w:spacing w:after="0" w:line="240" w:lineRule="auto"/>
        <w:rPr>
          <w:rFonts w:cs="Arial"/>
          <w:b/>
          <w:bCs/>
        </w:rPr>
      </w:pPr>
      <w:proofErr w:type="gramStart"/>
      <w:r w:rsidRPr="002134CC">
        <w:rPr>
          <w:rFonts w:cs="Arial"/>
        </w:rPr>
        <w:t>develop</w:t>
      </w:r>
      <w:proofErr w:type="gramEnd"/>
      <w:r w:rsidRPr="002134CC">
        <w:rPr>
          <w:rFonts w:cs="Arial"/>
        </w:rPr>
        <w:t xml:space="preserve"> a </w:t>
      </w:r>
      <w:r w:rsidRPr="002134CC">
        <w:rPr>
          <w:rFonts w:cs="Arial"/>
          <w:b/>
          <w:bCs/>
        </w:rPr>
        <w:t xml:space="preserve">future-facing </w:t>
      </w:r>
      <w:r w:rsidRPr="002134CC">
        <w:rPr>
          <w:rFonts w:cs="Arial"/>
        </w:rPr>
        <w:t xml:space="preserve">outlook; learning to think about the </w:t>
      </w:r>
      <w:r w:rsidRPr="002134CC">
        <w:rPr>
          <w:rFonts w:cs="Arial"/>
          <w:b/>
          <w:bCs/>
        </w:rPr>
        <w:t xml:space="preserve">consequences </w:t>
      </w:r>
      <w:r w:rsidRPr="002134CC">
        <w:rPr>
          <w:rFonts w:cs="Arial"/>
        </w:rPr>
        <w:t>of actions, and how systems and societies can be adapted to ensure</w:t>
      </w:r>
      <w:r w:rsidRPr="002134CC">
        <w:rPr>
          <w:rFonts w:cs="Arial"/>
          <w:b/>
          <w:bCs/>
        </w:rPr>
        <w:t xml:space="preserve"> </w:t>
      </w:r>
      <w:r w:rsidRPr="002134CC">
        <w:rPr>
          <w:rFonts w:cs="Arial"/>
          <w:b/>
          <w:bCs/>
        </w:rPr>
        <w:t>sustainable futures</w:t>
      </w:r>
      <w:r w:rsidRPr="002134CC">
        <w:rPr>
          <w:rFonts w:cs="Arial"/>
        </w:rPr>
        <w:t>.</w:t>
      </w:r>
    </w:p>
    <w:p w:rsidR="00681A4B" w:rsidRDefault="00681A4B" w:rsidP="00F57FCB"/>
    <w:p w:rsidR="00F57FCB" w:rsidRPr="002134CC" w:rsidRDefault="00F57FCB" w:rsidP="00F57FCB">
      <w:pPr>
        <w:rPr>
          <w:rFonts w:cs="Arial"/>
          <w:bCs/>
        </w:rPr>
      </w:pPr>
      <w:r w:rsidRPr="002134CC">
        <w:t xml:space="preserve">This wider understanding of sustainability is reflected in </w:t>
      </w:r>
      <w:proofErr w:type="spellStart"/>
      <w:r w:rsidRPr="002134CC">
        <w:t>Keele’s</w:t>
      </w:r>
      <w:proofErr w:type="spellEnd"/>
      <w:r w:rsidRPr="002134CC">
        <w:t xml:space="preserve"> Graduate Attribute Five: </w:t>
      </w:r>
      <w:r w:rsidRPr="002134CC">
        <w:rPr>
          <w:rFonts w:cs="Arial"/>
          <w:bCs/>
        </w:rPr>
        <w:t xml:space="preserve">An appreciation of the social, environmental and global implications of your studies and other activities, including recognition of any ethical implications.  </w:t>
      </w:r>
    </w:p>
    <w:p w:rsidR="00F57FCB" w:rsidRPr="002134CC" w:rsidRDefault="00F57FCB" w:rsidP="00F57FCB">
      <w:pPr>
        <w:rPr>
          <w:rFonts w:cs="Arial"/>
          <w:bCs/>
        </w:rPr>
      </w:pPr>
      <w:r w:rsidRPr="002134CC">
        <w:rPr>
          <w:rFonts w:cs="Arial"/>
          <w:bCs/>
        </w:rPr>
        <w:t xml:space="preserve">This report summarises the work of the Education for Sustainability team at </w:t>
      </w:r>
      <w:proofErr w:type="spellStart"/>
      <w:r w:rsidRPr="002134CC">
        <w:rPr>
          <w:rFonts w:cs="Arial"/>
          <w:bCs/>
        </w:rPr>
        <w:t>Keele</w:t>
      </w:r>
      <w:proofErr w:type="spellEnd"/>
      <w:r w:rsidRPr="002134CC">
        <w:rPr>
          <w:rFonts w:cs="Arial"/>
          <w:bCs/>
        </w:rPr>
        <w:t xml:space="preserve"> throughout </w:t>
      </w:r>
      <w:r w:rsidR="004F113A" w:rsidRPr="002134CC">
        <w:rPr>
          <w:rFonts w:cs="Arial"/>
          <w:bCs/>
        </w:rPr>
        <w:t>2014/15.</w:t>
      </w:r>
    </w:p>
    <w:p w:rsidR="00F57FCB" w:rsidRPr="002134CC" w:rsidRDefault="00F57FCB" w:rsidP="00250527">
      <w:pPr>
        <w:pStyle w:val="ListParagraph"/>
      </w:pPr>
    </w:p>
    <w:p w:rsidR="00250527" w:rsidRPr="002134CC" w:rsidRDefault="000107CF" w:rsidP="00AC7FE0">
      <w:pPr>
        <w:pStyle w:val="ListParagraph"/>
        <w:numPr>
          <w:ilvl w:val="0"/>
          <w:numId w:val="1"/>
        </w:numPr>
        <w:ind w:left="284" w:hanging="284"/>
        <w:rPr>
          <w:b/>
        </w:rPr>
      </w:pPr>
      <w:r w:rsidRPr="002134CC">
        <w:rPr>
          <w:b/>
        </w:rPr>
        <w:t>Baseline data</w:t>
      </w:r>
    </w:p>
    <w:p w:rsidR="000107CF" w:rsidRPr="002134CC" w:rsidRDefault="000107CF" w:rsidP="00AC7FE0">
      <w:pPr>
        <w:pStyle w:val="ListParagraph"/>
        <w:ind w:left="284" w:hanging="284"/>
        <w:rPr>
          <w:i/>
        </w:rPr>
      </w:pPr>
      <w:r w:rsidRPr="002134CC">
        <w:rPr>
          <w:i/>
        </w:rPr>
        <w:t xml:space="preserve">2a. Module </w:t>
      </w:r>
      <w:r w:rsidR="00707089" w:rsidRPr="002134CC">
        <w:rPr>
          <w:i/>
        </w:rPr>
        <w:t xml:space="preserve">and programme </w:t>
      </w:r>
      <w:r w:rsidRPr="002134CC">
        <w:rPr>
          <w:i/>
        </w:rPr>
        <w:t>analysis</w:t>
      </w:r>
    </w:p>
    <w:p w:rsidR="00901C77" w:rsidRDefault="00250527" w:rsidP="00901C77">
      <w:r w:rsidRPr="002134CC">
        <w:t>For the past three years data has been collected on the inclusion of sustainability within modules.  This has been carried out through an analysis of module aims and in</w:t>
      </w:r>
      <w:r w:rsidR="00A0206A" w:rsidRPr="002134CC">
        <w:t>t</w:t>
      </w:r>
      <w:r w:rsidRPr="002134CC">
        <w:t xml:space="preserve">ended learning outcomes available through module </w:t>
      </w:r>
      <w:r w:rsidR="00A0206A" w:rsidRPr="002134CC">
        <w:t>specifications</w:t>
      </w:r>
      <w:r w:rsidRPr="002134CC">
        <w:t xml:space="preserve"> published online</w:t>
      </w:r>
      <w:r w:rsidR="004F113A" w:rsidRPr="002134CC">
        <w:t xml:space="preserve">, </w:t>
      </w:r>
      <w:r w:rsidR="00681A4B">
        <w:t>and has</w:t>
      </w:r>
      <w:r w:rsidR="00A0206A" w:rsidRPr="002134CC">
        <w:t xml:space="preserve"> not been verified by programme teams. </w:t>
      </w:r>
      <w:r w:rsidR="00707089" w:rsidRPr="002134CC">
        <w:t xml:space="preserve"> The findings of this module analysis are presented </w:t>
      </w:r>
      <w:r w:rsidR="00681A4B">
        <w:t>in Appendix 1</w:t>
      </w:r>
      <w:r w:rsidR="00707089" w:rsidRPr="002134CC">
        <w:t xml:space="preserve">.  </w:t>
      </w:r>
      <w:r w:rsidR="00C32AD3" w:rsidRPr="002134CC">
        <w:t>This analysis has been continued to programme level to determine programmes where students do not have the opportunity to engage with sustainability</w:t>
      </w:r>
      <w:r w:rsidR="00901C77" w:rsidRPr="002134CC">
        <w:t xml:space="preserve"> issues as part of their course</w:t>
      </w:r>
      <w:r w:rsidR="004724AE">
        <w:t>,</w:t>
      </w:r>
      <w:r w:rsidR="00901C77" w:rsidRPr="002134CC">
        <w:t xml:space="preserve"> </w:t>
      </w:r>
      <w:r w:rsidR="00A0206A" w:rsidRPr="002134CC">
        <w:t>b</w:t>
      </w:r>
      <w:r w:rsidR="00901C77" w:rsidRPr="002134CC">
        <w:t>ased on whether modules with ESD</w:t>
      </w:r>
      <w:r w:rsidR="00A0206A" w:rsidRPr="002134CC">
        <w:t xml:space="preserve"> coverage are included within the core or optional programme.  </w:t>
      </w:r>
      <w:r w:rsidR="004724AE">
        <w:t>Table 1</w:t>
      </w:r>
      <w:r w:rsidR="00F06DDC" w:rsidRPr="002134CC">
        <w:t xml:space="preserve"> below i</w:t>
      </w:r>
      <w:r w:rsidR="004724AE">
        <w:t>dentifies</w:t>
      </w:r>
      <w:r w:rsidR="00901C77" w:rsidRPr="002134CC">
        <w:t xml:space="preserve"> programmes where (based on an analysis of module information provided online) students do not have an opportunity to engage with sustainability issues as part of their course, or only as an optional part of their course.</w:t>
      </w:r>
      <w:r w:rsidR="00F06DDC" w:rsidRPr="002134CC">
        <w:t xml:space="preserve">  Full details of the programme a</w:t>
      </w:r>
      <w:r w:rsidR="004724AE">
        <w:t>nalysis are shown in Appendix 2</w:t>
      </w:r>
      <w:r w:rsidR="00F06DDC" w:rsidRPr="002134CC">
        <w:t>.</w:t>
      </w:r>
      <w:r w:rsidR="00EC2914" w:rsidRPr="002134CC">
        <w:t xml:space="preserve">  Programmes within the Faculty of Health are not included in this analysis as their module information is not available online in</w:t>
      </w:r>
      <w:r w:rsidR="007C63B6">
        <w:t xml:space="preserve"> a </w:t>
      </w:r>
      <w:r w:rsidR="00EC2914" w:rsidRPr="002134CC">
        <w:t>format to allow this analysis to be completed.</w:t>
      </w:r>
    </w:p>
    <w:p w:rsidR="004724AE" w:rsidRPr="002134CC" w:rsidRDefault="004724AE" w:rsidP="00901C77"/>
    <w:p w:rsidR="00F06DDC" w:rsidRPr="007C63B6" w:rsidRDefault="004724AE" w:rsidP="007C63B6">
      <w:pPr>
        <w:jc w:val="center"/>
        <w:rPr>
          <w:b/>
          <w:sz w:val="20"/>
        </w:rPr>
      </w:pPr>
      <w:proofErr w:type="gramStart"/>
      <w:r w:rsidRPr="007C63B6">
        <w:rPr>
          <w:b/>
          <w:sz w:val="20"/>
        </w:rPr>
        <w:lastRenderedPageBreak/>
        <w:t>Table 1</w:t>
      </w:r>
      <w:r w:rsidR="00F06DDC" w:rsidRPr="007C63B6">
        <w:rPr>
          <w:b/>
          <w:sz w:val="20"/>
        </w:rPr>
        <w:t>.</w:t>
      </w:r>
      <w:proofErr w:type="gramEnd"/>
      <w:r w:rsidR="00F06DDC" w:rsidRPr="007C63B6">
        <w:rPr>
          <w:b/>
          <w:sz w:val="20"/>
        </w:rPr>
        <w:t xml:space="preserve">  </w:t>
      </w:r>
      <w:r w:rsidRPr="007C63B6">
        <w:rPr>
          <w:sz w:val="20"/>
        </w:rPr>
        <w:t>Programmes where students have no or limited (option module only) opportunity to engage with sustainability issues as part of their programme</w:t>
      </w:r>
      <w:r w:rsidR="007C63B6">
        <w:rPr>
          <w:sz w:val="20"/>
        </w:rPr>
        <w:t xml:space="preserve"> (full analysis in Appendix 2).</w:t>
      </w:r>
    </w:p>
    <w:tbl>
      <w:tblPr>
        <w:tblStyle w:val="TableGrid"/>
        <w:tblW w:w="0" w:type="auto"/>
        <w:tblLook w:val="04A0" w:firstRow="1" w:lastRow="0" w:firstColumn="1" w:lastColumn="0" w:noHBand="0" w:noVBand="1"/>
      </w:tblPr>
      <w:tblGrid>
        <w:gridCol w:w="3284"/>
        <w:gridCol w:w="3285"/>
        <w:gridCol w:w="3285"/>
      </w:tblGrid>
      <w:tr w:rsidR="00901C77" w:rsidRPr="002134CC" w:rsidTr="003948B1">
        <w:tc>
          <w:tcPr>
            <w:tcW w:w="3284" w:type="dxa"/>
            <w:tcBorders>
              <w:bottom w:val="single" w:sz="4" w:space="0" w:color="auto"/>
            </w:tcBorders>
          </w:tcPr>
          <w:p w:rsidR="00901C77" w:rsidRPr="002134CC" w:rsidRDefault="00901C77" w:rsidP="00901C77"/>
        </w:tc>
        <w:tc>
          <w:tcPr>
            <w:tcW w:w="3285" w:type="dxa"/>
            <w:tcBorders>
              <w:bottom w:val="single" w:sz="4" w:space="0" w:color="auto"/>
            </w:tcBorders>
          </w:tcPr>
          <w:p w:rsidR="00901C77" w:rsidRPr="002134CC" w:rsidRDefault="00901C77" w:rsidP="00901C77">
            <w:pPr>
              <w:rPr>
                <w:b/>
              </w:rPr>
            </w:pPr>
            <w:r w:rsidRPr="002134CC">
              <w:rPr>
                <w:b/>
              </w:rPr>
              <w:t>No ESD content</w:t>
            </w:r>
          </w:p>
        </w:tc>
        <w:tc>
          <w:tcPr>
            <w:tcW w:w="3285" w:type="dxa"/>
            <w:tcBorders>
              <w:bottom w:val="single" w:sz="4" w:space="0" w:color="auto"/>
            </w:tcBorders>
          </w:tcPr>
          <w:p w:rsidR="00901C77" w:rsidRPr="002134CC" w:rsidRDefault="00901C77" w:rsidP="00901C77">
            <w:pPr>
              <w:rPr>
                <w:b/>
              </w:rPr>
            </w:pPr>
            <w:r w:rsidRPr="002134CC">
              <w:rPr>
                <w:b/>
              </w:rPr>
              <w:t>Optional modules only</w:t>
            </w:r>
          </w:p>
        </w:tc>
      </w:tr>
      <w:tr w:rsidR="007701EC" w:rsidRPr="002134CC" w:rsidTr="003948B1">
        <w:tc>
          <w:tcPr>
            <w:tcW w:w="3284" w:type="dxa"/>
            <w:vMerge w:val="restart"/>
            <w:shd w:val="pct5" w:color="auto" w:fill="auto"/>
          </w:tcPr>
          <w:p w:rsidR="007701EC" w:rsidRPr="002134CC" w:rsidRDefault="007701EC" w:rsidP="00901C77">
            <w:pPr>
              <w:rPr>
                <w:b/>
              </w:rPr>
            </w:pPr>
            <w:r w:rsidRPr="002134CC">
              <w:rPr>
                <w:b/>
              </w:rPr>
              <w:t xml:space="preserve">Faculty of </w:t>
            </w:r>
            <w:proofErr w:type="spellStart"/>
            <w:r w:rsidRPr="002134CC">
              <w:rPr>
                <w:b/>
              </w:rPr>
              <w:t>HumSS</w:t>
            </w:r>
            <w:proofErr w:type="spellEnd"/>
            <w:r w:rsidRPr="002134CC">
              <w:rPr>
                <w:b/>
              </w:rPr>
              <w:t xml:space="preserve"> (Dual Honours)</w:t>
            </w:r>
          </w:p>
        </w:tc>
        <w:tc>
          <w:tcPr>
            <w:tcW w:w="3285" w:type="dxa"/>
            <w:shd w:val="pct5" w:color="auto" w:fill="auto"/>
          </w:tcPr>
          <w:p w:rsidR="007701EC" w:rsidRPr="002134CC" w:rsidRDefault="007701EC" w:rsidP="00901C77">
            <w:r w:rsidRPr="002134CC">
              <w:t>Finance</w:t>
            </w:r>
          </w:p>
        </w:tc>
        <w:tc>
          <w:tcPr>
            <w:tcW w:w="3285" w:type="dxa"/>
            <w:shd w:val="pct5" w:color="auto" w:fill="auto"/>
          </w:tcPr>
          <w:p w:rsidR="007701EC" w:rsidRPr="002134CC" w:rsidRDefault="007701EC" w:rsidP="00901C77">
            <w:r w:rsidRPr="002134CC">
              <w:t>Accounting</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r w:rsidRPr="002134CC">
              <w:t>Music Technology</w:t>
            </w:r>
          </w:p>
        </w:tc>
        <w:tc>
          <w:tcPr>
            <w:tcW w:w="3285" w:type="dxa"/>
            <w:shd w:val="pct5" w:color="auto" w:fill="auto"/>
          </w:tcPr>
          <w:p w:rsidR="007701EC" w:rsidRPr="002134CC" w:rsidRDefault="007701EC" w:rsidP="00901C77">
            <w:r w:rsidRPr="002134CC">
              <w:t>Economics</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r w:rsidRPr="002134CC">
              <w:t>Music</w:t>
            </w:r>
          </w:p>
        </w:tc>
        <w:tc>
          <w:tcPr>
            <w:tcW w:w="3285" w:type="dxa"/>
            <w:shd w:val="pct5" w:color="auto" w:fill="auto"/>
          </w:tcPr>
          <w:p w:rsidR="007701EC" w:rsidRPr="002134CC" w:rsidRDefault="007701EC" w:rsidP="00901C77">
            <w:r w:rsidRPr="002134CC">
              <w:t>History</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tc>
        <w:tc>
          <w:tcPr>
            <w:tcW w:w="3285" w:type="dxa"/>
            <w:shd w:val="pct5" w:color="auto" w:fill="auto"/>
          </w:tcPr>
          <w:p w:rsidR="007701EC" w:rsidRPr="002134CC" w:rsidRDefault="007701EC" w:rsidP="00901C77">
            <w:r w:rsidRPr="002134CC">
              <w:t>Criminology</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tc>
        <w:tc>
          <w:tcPr>
            <w:tcW w:w="3285" w:type="dxa"/>
            <w:shd w:val="pct5" w:color="auto" w:fill="auto"/>
          </w:tcPr>
          <w:p w:rsidR="007701EC" w:rsidRPr="002134CC" w:rsidRDefault="007701EC" w:rsidP="00901C77">
            <w:r w:rsidRPr="002134CC">
              <w:t>English</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tc>
        <w:tc>
          <w:tcPr>
            <w:tcW w:w="3285" w:type="dxa"/>
            <w:shd w:val="pct5" w:color="auto" w:fill="auto"/>
          </w:tcPr>
          <w:p w:rsidR="007701EC" w:rsidRPr="002134CC" w:rsidRDefault="007701EC" w:rsidP="00901C77">
            <w:r w:rsidRPr="002134CC">
              <w:t>Law</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tc>
        <w:tc>
          <w:tcPr>
            <w:tcW w:w="3285" w:type="dxa"/>
            <w:shd w:val="pct5" w:color="auto" w:fill="auto"/>
          </w:tcPr>
          <w:p w:rsidR="007701EC" w:rsidRPr="002134CC" w:rsidRDefault="007701EC" w:rsidP="00901C77">
            <w:r w:rsidRPr="002134CC">
              <w:t>American Studies</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tc>
        <w:tc>
          <w:tcPr>
            <w:tcW w:w="3285" w:type="dxa"/>
            <w:shd w:val="pct5" w:color="auto" w:fill="auto"/>
          </w:tcPr>
          <w:p w:rsidR="007701EC" w:rsidRPr="002134CC" w:rsidRDefault="007701EC" w:rsidP="00901C77">
            <w:r w:rsidRPr="002134CC">
              <w:t>Politics</w:t>
            </w:r>
          </w:p>
        </w:tc>
      </w:tr>
      <w:tr w:rsidR="007701EC" w:rsidRPr="002134CC" w:rsidTr="00901C77">
        <w:tc>
          <w:tcPr>
            <w:tcW w:w="3284" w:type="dxa"/>
            <w:vMerge w:val="restart"/>
          </w:tcPr>
          <w:p w:rsidR="007701EC" w:rsidRPr="002134CC" w:rsidRDefault="007701EC" w:rsidP="00901C77">
            <w:pPr>
              <w:rPr>
                <w:b/>
              </w:rPr>
            </w:pPr>
            <w:r w:rsidRPr="002134CC">
              <w:rPr>
                <w:b/>
              </w:rPr>
              <w:t xml:space="preserve">Faculty of </w:t>
            </w:r>
            <w:proofErr w:type="spellStart"/>
            <w:r w:rsidRPr="002134CC">
              <w:rPr>
                <w:b/>
              </w:rPr>
              <w:t>HumSS</w:t>
            </w:r>
            <w:proofErr w:type="spellEnd"/>
            <w:r w:rsidRPr="002134CC">
              <w:rPr>
                <w:b/>
              </w:rPr>
              <w:t xml:space="preserve"> (Single </w:t>
            </w:r>
            <w:r w:rsidRPr="002134CC">
              <w:rPr>
                <w:b/>
              </w:rPr>
              <w:t>H</w:t>
            </w:r>
            <w:r w:rsidRPr="002134CC">
              <w:rPr>
                <w:b/>
              </w:rPr>
              <w:t>onours</w:t>
            </w:r>
            <w:r w:rsidRPr="002134CC">
              <w:rPr>
                <w:b/>
              </w:rPr>
              <w:t>)</w:t>
            </w:r>
          </w:p>
        </w:tc>
        <w:tc>
          <w:tcPr>
            <w:tcW w:w="3285" w:type="dxa"/>
          </w:tcPr>
          <w:p w:rsidR="007701EC" w:rsidRPr="002134CC" w:rsidRDefault="007701EC" w:rsidP="0005164A">
            <w:r w:rsidRPr="002134CC">
              <w:t>Music Technology</w:t>
            </w:r>
          </w:p>
        </w:tc>
        <w:tc>
          <w:tcPr>
            <w:tcW w:w="3285" w:type="dxa"/>
          </w:tcPr>
          <w:p w:rsidR="007701EC" w:rsidRPr="002134CC" w:rsidRDefault="007701EC" w:rsidP="00901C77">
            <w:r w:rsidRPr="002134CC">
              <w:t>American Studies</w:t>
            </w:r>
          </w:p>
        </w:tc>
      </w:tr>
      <w:tr w:rsidR="007701EC" w:rsidRPr="002134CC" w:rsidTr="00901C77">
        <w:tc>
          <w:tcPr>
            <w:tcW w:w="3284" w:type="dxa"/>
            <w:vMerge/>
          </w:tcPr>
          <w:p w:rsidR="007701EC" w:rsidRPr="002134CC" w:rsidRDefault="007701EC" w:rsidP="00901C77">
            <w:pPr>
              <w:rPr>
                <w:b/>
              </w:rPr>
            </w:pPr>
          </w:p>
        </w:tc>
        <w:tc>
          <w:tcPr>
            <w:tcW w:w="3285" w:type="dxa"/>
          </w:tcPr>
          <w:p w:rsidR="007701EC" w:rsidRPr="002134CC" w:rsidRDefault="007701EC" w:rsidP="0005164A">
            <w:r w:rsidRPr="002134CC">
              <w:t>Music</w:t>
            </w:r>
          </w:p>
        </w:tc>
        <w:tc>
          <w:tcPr>
            <w:tcW w:w="3285" w:type="dxa"/>
          </w:tcPr>
          <w:p w:rsidR="007701EC" w:rsidRPr="002134CC" w:rsidRDefault="007701EC" w:rsidP="00901C77">
            <w:r w:rsidRPr="002134CC">
              <w:t>Business Economics</w:t>
            </w:r>
          </w:p>
        </w:tc>
      </w:tr>
      <w:tr w:rsidR="007701EC" w:rsidRPr="002134CC" w:rsidTr="00901C77">
        <w:tc>
          <w:tcPr>
            <w:tcW w:w="3284" w:type="dxa"/>
            <w:vMerge/>
          </w:tcPr>
          <w:p w:rsidR="007701EC" w:rsidRPr="002134CC" w:rsidRDefault="007701EC" w:rsidP="00901C77">
            <w:pPr>
              <w:rPr>
                <w:b/>
              </w:rPr>
            </w:pPr>
          </w:p>
        </w:tc>
        <w:tc>
          <w:tcPr>
            <w:tcW w:w="3285" w:type="dxa"/>
          </w:tcPr>
          <w:p w:rsidR="007701EC" w:rsidRPr="002134CC" w:rsidRDefault="007701EC" w:rsidP="00901C77"/>
        </w:tc>
        <w:tc>
          <w:tcPr>
            <w:tcW w:w="3285" w:type="dxa"/>
          </w:tcPr>
          <w:p w:rsidR="007701EC" w:rsidRPr="002134CC" w:rsidRDefault="007701EC" w:rsidP="00901C77">
            <w:r w:rsidRPr="002134CC">
              <w:t>Criminology</w:t>
            </w:r>
          </w:p>
        </w:tc>
      </w:tr>
      <w:tr w:rsidR="007701EC" w:rsidRPr="002134CC" w:rsidTr="00901C77">
        <w:tc>
          <w:tcPr>
            <w:tcW w:w="3284" w:type="dxa"/>
            <w:vMerge/>
          </w:tcPr>
          <w:p w:rsidR="007701EC" w:rsidRPr="002134CC" w:rsidRDefault="007701EC" w:rsidP="00901C77">
            <w:pPr>
              <w:rPr>
                <w:b/>
              </w:rPr>
            </w:pPr>
          </w:p>
        </w:tc>
        <w:tc>
          <w:tcPr>
            <w:tcW w:w="3285" w:type="dxa"/>
          </w:tcPr>
          <w:p w:rsidR="007701EC" w:rsidRPr="002134CC" w:rsidRDefault="007701EC" w:rsidP="00901C77"/>
        </w:tc>
        <w:tc>
          <w:tcPr>
            <w:tcW w:w="3285" w:type="dxa"/>
          </w:tcPr>
          <w:p w:rsidR="007701EC" w:rsidRPr="002134CC" w:rsidRDefault="007701EC" w:rsidP="00901C77">
            <w:r w:rsidRPr="002134CC">
              <w:t>English</w:t>
            </w:r>
          </w:p>
        </w:tc>
      </w:tr>
      <w:tr w:rsidR="007701EC" w:rsidRPr="002134CC" w:rsidTr="00901C77">
        <w:tc>
          <w:tcPr>
            <w:tcW w:w="3284" w:type="dxa"/>
            <w:vMerge/>
          </w:tcPr>
          <w:p w:rsidR="007701EC" w:rsidRPr="002134CC" w:rsidRDefault="007701EC" w:rsidP="00901C77">
            <w:pPr>
              <w:rPr>
                <w:b/>
              </w:rPr>
            </w:pPr>
          </w:p>
        </w:tc>
        <w:tc>
          <w:tcPr>
            <w:tcW w:w="3285" w:type="dxa"/>
          </w:tcPr>
          <w:p w:rsidR="007701EC" w:rsidRPr="002134CC" w:rsidRDefault="007701EC" w:rsidP="00901C77"/>
        </w:tc>
        <w:tc>
          <w:tcPr>
            <w:tcW w:w="3285" w:type="dxa"/>
          </w:tcPr>
          <w:p w:rsidR="007701EC" w:rsidRPr="002134CC" w:rsidRDefault="007701EC" w:rsidP="00901C77">
            <w:r w:rsidRPr="002134CC">
              <w:t>English and American Literature</w:t>
            </w:r>
          </w:p>
        </w:tc>
      </w:tr>
      <w:tr w:rsidR="007701EC" w:rsidRPr="002134CC" w:rsidTr="00901C77">
        <w:tc>
          <w:tcPr>
            <w:tcW w:w="3284" w:type="dxa"/>
            <w:vMerge/>
          </w:tcPr>
          <w:p w:rsidR="007701EC" w:rsidRPr="002134CC" w:rsidRDefault="007701EC" w:rsidP="00901C77">
            <w:pPr>
              <w:rPr>
                <w:b/>
              </w:rPr>
            </w:pPr>
          </w:p>
        </w:tc>
        <w:tc>
          <w:tcPr>
            <w:tcW w:w="3285" w:type="dxa"/>
          </w:tcPr>
          <w:p w:rsidR="007701EC" w:rsidRPr="002134CC" w:rsidRDefault="007701EC" w:rsidP="00901C77"/>
        </w:tc>
        <w:tc>
          <w:tcPr>
            <w:tcW w:w="3285" w:type="dxa"/>
          </w:tcPr>
          <w:p w:rsidR="007701EC" w:rsidRPr="002134CC" w:rsidRDefault="007701EC" w:rsidP="00901C77">
            <w:r w:rsidRPr="002134CC">
              <w:t>English with Creative Writing</w:t>
            </w:r>
          </w:p>
        </w:tc>
      </w:tr>
      <w:tr w:rsidR="007701EC" w:rsidRPr="002134CC" w:rsidTr="00901C77">
        <w:tc>
          <w:tcPr>
            <w:tcW w:w="3284" w:type="dxa"/>
            <w:vMerge/>
          </w:tcPr>
          <w:p w:rsidR="007701EC" w:rsidRPr="002134CC" w:rsidRDefault="007701EC" w:rsidP="00901C77">
            <w:pPr>
              <w:rPr>
                <w:b/>
              </w:rPr>
            </w:pPr>
          </w:p>
        </w:tc>
        <w:tc>
          <w:tcPr>
            <w:tcW w:w="3285" w:type="dxa"/>
          </w:tcPr>
          <w:p w:rsidR="007701EC" w:rsidRPr="002134CC" w:rsidRDefault="007701EC" w:rsidP="00901C77"/>
        </w:tc>
        <w:tc>
          <w:tcPr>
            <w:tcW w:w="3285" w:type="dxa"/>
          </w:tcPr>
          <w:p w:rsidR="007701EC" w:rsidRPr="002134CC" w:rsidRDefault="007701EC" w:rsidP="00901C77">
            <w:r w:rsidRPr="002134CC">
              <w:t>History</w:t>
            </w:r>
          </w:p>
        </w:tc>
      </w:tr>
      <w:tr w:rsidR="007701EC" w:rsidRPr="002134CC" w:rsidTr="003948B1">
        <w:tc>
          <w:tcPr>
            <w:tcW w:w="3284" w:type="dxa"/>
            <w:vMerge/>
            <w:tcBorders>
              <w:bottom w:val="single" w:sz="4" w:space="0" w:color="auto"/>
            </w:tcBorders>
          </w:tcPr>
          <w:p w:rsidR="007701EC" w:rsidRPr="002134CC" w:rsidRDefault="007701EC" w:rsidP="00901C77">
            <w:pPr>
              <w:rPr>
                <w:b/>
              </w:rPr>
            </w:pPr>
          </w:p>
        </w:tc>
        <w:tc>
          <w:tcPr>
            <w:tcW w:w="3285" w:type="dxa"/>
            <w:tcBorders>
              <w:bottom w:val="single" w:sz="4" w:space="0" w:color="auto"/>
            </w:tcBorders>
          </w:tcPr>
          <w:p w:rsidR="007701EC" w:rsidRPr="002134CC" w:rsidRDefault="007701EC" w:rsidP="00901C77"/>
        </w:tc>
        <w:tc>
          <w:tcPr>
            <w:tcW w:w="3285" w:type="dxa"/>
            <w:tcBorders>
              <w:bottom w:val="single" w:sz="4" w:space="0" w:color="auto"/>
            </w:tcBorders>
          </w:tcPr>
          <w:p w:rsidR="007701EC" w:rsidRPr="002134CC" w:rsidRDefault="007701EC" w:rsidP="00901C77">
            <w:r w:rsidRPr="002134CC">
              <w:t>Law</w:t>
            </w:r>
          </w:p>
        </w:tc>
      </w:tr>
      <w:tr w:rsidR="007701EC" w:rsidRPr="002134CC" w:rsidTr="003948B1">
        <w:tc>
          <w:tcPr>
            <w:tcW w:w="3284" w:type="dxa"/>
            <w:vMerge w:val="restart"/>
            <w:shd w:val="pct5" w:color="auto" w:fill="auto"/>
          </w:tcPr>
          <w:p w:rsidR="007701EC" w:rsidRPr="002134CC" w:rsidRDefault="007701EC" w:rsidP="00901C77">
            <w:pPr>
              <w:rPr>
                <w:b/>
              </w:rPr>
            </w:pPr>
            <w:r w:rsidRPr="002134CC">
              <w:rPr>
                <w:b/>
              </w:rPr>
              <w:t xml:space="preserve">Faculty of Nat </w:t>
            </w:r>
            <w:proofErr w:type="spellStart"/>
            <w:r w:rsidRPr="002134CC">
              <w:rPr>
                <w:b/>
              </w:rPr>
              <w:t>Sci</w:t>
            </w:r>
            <w:proofErr w:type="spellEnd"/>
            <w:r w:rsidRPr="002134CC">
              <w:rPr>
                <w:b/>
              </w:rPr>
              <w:t xml:space="preserve"> (Dual Honours)</w:t>
            </w:r>
          </w:p>
        </w:tc>
        <w:tc>
          <w:tcPr>
            <w:tcW w:w="3285" w:type="dxa"/>
            <w:shd w:val="pct5" w:color="auto" w:fill="auto"/>
          </w:tcPr>
          <w:p w:rsidR="007701EC" w:rsidRPr="002134CC" w:rsidRDefault="007701EC" w:rsidP="00901C77">
            <w:r w:rsidRPr="002134CC">
              <w:t>Forensic Science</w:t>
            </w:r>
          </w:p>
        </w:tc>
        <w:tc>
          <w:tcPr>
            <w:tcW w:w="3285" w:type="dxa"/>
            <w:shd w:val="pct5" w:color="auto" w:fill="auto"/>
          </w:tcPr>
          <w:p w:rsidR="007701EC" w:rsidRPr="002134CC" w:rsidRDefault="007701EC" w:rsidP="00901C77">
            <w:r w:rsidRPr="002134CC">
              <w:t>Astrophysics</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r w:rsidRPr="002134CC">
              <w:t>Mathematics</w:t>
            </w:r>
          </w:p>
        </w:tc>
        <w:tc>
          <w:tcPr>
            <w:tcW w:w="3285" w:type="dxa"/>
            <w:shd w:val="pct5" w:color="auto" w:fill="auto"/>
          </w:tcPr>
          <w:p w:rsidR="007701EC" w:rsidRPr="002134CC" w:rsidRDefault="007701EC" w:rsidP="00901C77">
            <w:r w:rsidRPr="002134CC">
              <w:t>Biochemistry</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r w:rsidRPr="002134CC">
              <w:t>Medicinal Chemistry</w:t>
            </w:r>
          </w:p>
        </w:tc>
        <w:tc>
          <w:tcPr>
            <w:tcW w:w="3285" w:type="dxa"/>
            <w:shd w:val="pct5" w:color="auto" w:fill="auto"/>
          </w:tcPr>
          <w:p w:rsidR="007701EC" w:rsidRPr="002134CC" w:rsidRDefault="007701EC" w:rsidP="00901C77">
            <w:r w:rsidRPr="002134CC">
              <w:t>Biology</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r w:rsidRPr="002134CC">
              <w:t>Neuroscience</w:t>
            </w:r>
          </w:p>
        </w:tc>
        <w:tc>
          <w:tcPr>
            <w:tcW w:w="3285" w:type="dxa"/>
            <w:shd w:val="pct5" w:color="auto" w:fill="auto"/>
          </w:tcPr>
          <w:p w:rsidR="007701EC" w:rsidRPr="002134CC" w:rsidRDefault="007701EC" w:rsidP="00901C77">
            <w:r w:rsidRPr="002134CC">
              <w:t>Chemistry</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tc>
        <w:tc>
          <w:tcPr>
            <w:tcW w:w="3285" w:type="dxa"/>
            <w:shd w:val="pct5" w:color="auto" w:fill="auto"/>
          </w:tcPr>
          <w:p w:rsidR="007701EC" w:rsidRPr="002134CC" w:rsidRDefault="007701EC" w:rsidP="00901C77">
            <w:r w:rsidRPr="002134CC">
              <w:t>Human Biology</w:t>
            </w:r>
          </w:p>
        </w:tc>
      </w:tr>
      <w:tr w:rsidR="007701EC" w:rsidRPr="002134CC" w:rsidTr="003948B1">
        <w:tc>
          <w:tcPr>
            <w:tcW w:w="3284" w:type="dxa"/>
            <w:vMerge/>
            <w:shd w:val="pct5" w:color="auto" w:fill="auto"/>
          </w:tcPr>
          <w:p w:rsidR="007701EC" w:rsidRPr="002134CC" w:rsidRDefault="007701EC" w:rsidP="00901C77">
            <w:pPr>
              <w:rPr>
                <w:b/>
              </w:rPr>
            </w:pPr>
          </w:p>
        </w:tc>
        <w:tc>
          <w:tcPr>
            <w:tcW w:w="3285" w:type="dxa"/>
            <w:shd w:val="pct5" w:color="auto" w:fill="auto"/>
          </w:tcPr>
          <w:p w:rsidR="007701EC" w:rsidRPr="002134CC" w:rsidRDefault="007701EC" w:rsidP="00901C77"/>
        </w:tc>
        <w:tc>
          <w:tcPr>
            <w:tcW w:w="3285" w:type="dxa"/>
            <w:shd w:val="pct5" w:color="auto" w:fill="auto"/>
          </w:tcPr>
          <w:p w:rsidR="007701EC" w:rsidRPr="002134CC" w:rsidRDefault="007701EC" w:rsidP="00901C77">
            <w:r w:rsidRPr="002134CC">
              <w:t>Physics</w:t>
            </w:r>
          </w:p>
        </w:tc>
      </w:tr>
      <w:tr w:rsidR="007701EC" w:rsidRPr="002134CC" w:rsidTr="00901C77">
        <w:tc>
          <w:tcPr>
            <w:tcW w:w="3284" w:type="dxa"/>
            <w:vMerge w:val="restart"/>
          </w:tcPr>
          <w:p w:rsidR="007701EC" w:rsidRPr="002134CC" w:rsidRDefault="007701EC" w:rsidP="00901C77">
            <w:pPr>
              <w:rPr>
                <w:b/>
              </w:rPr>
            </w:pPr>
            <w:r w:rsidRPr="002134CC">
              <w:rPr>
                <w:b/>
              </w:rPr>
              <w:t xml:space="preserve">Faculty of Nat </w:t>
            </w:r>
            <w:proofErr w:type="spellStart"/>
            <w:r w:rsidRPr="002134CC">
              <w:rPr>
                <w:b/>
              </w:rPr>
              <w:t>Sci</w:t>
            </w:r>
            <w:proofErr w:type="spellEnd"/>
            <w:r w:rsidRPr="002134CC">
              <w:rPr>
                <w:b/>
              </w:rPr>
              <w:t xml:space="preserve"> (Single Honours)</w:t>
            </w:r>
          </w:p>
        </w:tc>
        <w:tc>
          <w:tcPr>
            <w:tcW w:w="3285" w:type="dxa"/>
          </w:tcPr>
          <w:p w:rsidR="007701EC" w:rsidRPr="002134CC" w:rsidRDefault="007701EC" w:rsidP="00901C77">
            <w:r w:rsidRPr="002134CC">
              <w:t>Information technology Management for Business</w:t>
            </w:r>
          </w:p>
        </w:tc>
        <w:tc>
          <w:tcPr>
            <w:tcW w:w="3285" w:type="dxa"/>
          </w:tcPr>
          <w:p w:rsidR="007701EC" w:rsidRPr="002134CC" w:rsidRDefault="007701EC" w:rsidP="00901C77">
            <w:r w:rsidRPr="002134CC">
              <w:t>Applied Biomedical Science</w:t>
            </w:r>
          </w:p>
        </w:tc>
      </w:tr>
      <w:tr w:rsidR="007701EC" w:rsidRPr="002134CC" w:rsidTr="00901C77">
        <w:tc>
          <w:tcPr>
            <w:tcW w:w="3284" w:type="dxa"/>
            <w:vMerge/>
          </w:tcPr>
          <w:p w:rsidR="007701EC" w:rsidRPr="002134CC" w:rsidRDefault="007701EC" w:rsidP="00901C77"/>
        </w:tc>
        <w:tc>
          <w:tcPr>
            <w:tcW w:w="3285" w:type="dxa"/>
          </w:tcPr>
          <w:p w:rsidR="007701EC" w:rsidRPr="002134CC" w:rsidRDefault="007701EC" w:rsidP="00901C77">
            <w:r w:rsidRPr="002134CC">
              <w:t>Mathematics</w:t>
            </w:r>
          </w:p>
        </w:tc>
        <w:tc>
          <w:tcPr>
            <w:tcW w:w="3285" w:type="dxa"/>
          </w:tcPr>
          <w:p w:rsidR="007701EC" w:rsidRPr="002134CC" w:rsidRDefault="007701EC" w:rsidP="00901C77">
            <w:r w:rsidRPr="002134CC">
              <w:t>Biomedical Science</w:t>
            </w:r>
          </w:p>
        </w:tc>
      </w:tr>
      <w:tr w:rsidR="007701EC" w:rsidRPr="002134CC" w:rsidTr="00901C77">
        <w:tc>
          <w:tcPr>
            <w:tcW w:w="3284" w:type="dxa"/>
            <w:vMerge/>
          </w:tcPr>
          <w:p w:rsidR="007701EC" w:rsidRPr="002134CC" w:rsidRDefault="007701EC" w:rsidP="00901C77"/>
        </w:tc>
        <w:tc>
          <w:tcPr>
            <w:tcW w:w="3285" w:type="dxa"/>
          </w:tcPr>
          <w:p w:rsidR="007701EC" w:rsidRPr="002134CC" w:rsidRDefault="007701EC" w:rsidP="00901C77">
            <w:r w:rsidRPr="002134CC">
              <w:t>Forensic and Analytical Investigation</w:t>
            </w:r>
          </w:p>
        </w:tc>
        <w:tc>
          <w:tcPr>
            <w:tcW w:w="3285" w:type="dxa"/>
          </w:tcPr>
          <w:p w:rsidR="007701EC" w:rsidRPr="002134CC" w:rsidRDefault="007701EC" w:rsidP="00901C77"/>
        </w:tc>
      </w:tr>
    </w:tbl>
    <w:p w:rsidR="00901C77" w:rsidRPr="002134CC" w:rsidRDefault="00901C77" w:rsidP="00901C77"/>
    <w:p w:rsidR="000107CF" w:rsidRPr="002134CC" w:rsidRDefault="002B1726" w:rsidP="00AC7FE0">
      <w:pPr>
        <w:pStyle w:val="ListParagraph"/>
        <w:ind w:left="0"/>
        <w:rPr>
          <w:i/>
        </w:rPr>
      </w:pPr>
      <w:r w:rsidRPr="002134CC">
        <w:rPr>
          <w:i/>
        </w:rPr>
        <w:t>2b</w:t>
      </w:r>
      <w:r w:rsidR="000107CF" w:rsidRPr="002134CC">
        <w:rPr>
          <w:i/>
        </w:rPr>
        <w:t>. Student attitudes</w:t>
      </w:r>
      <w:r w:rsidR="007C63B6">
        <w:rPr>
          <w:i/>
        </w:rPr>
        <w:t xml:space="preserve"> to sustainability</w:t>
      </w:r>
    </w:p>
    <w:p w:rsidR="00F134AD" w:rsidRDefault="00F134AD" w:rsidP="00F134AD">
      <w:r w:rsidRPr="002134CC">
        <w:t xml:space="preserve">During </w:t>
      </w:r>
      <w:r w:rsidR="006D7726" w:rsidRPr="002134CC">
        <w:t xml:space="preserve">Green Week in </w:t>
      </w:r>
      <w:r w:rsidRPr="002134CC">
        <w:t>March 2015 an online survey was carried out to</w:t>
      </w:r>
      <w:r w:rsidR="006D7726" w:rsidRPr="002134CC">
        <w:t xml:space="preserve"> evaluate the impact of the work at </w:t>
      </w:r>
      <w:proofErr w:type="spellStart"/>
      <w:r w:rsidR="006D7726" w:rsidRPr="002134CC">
        <w:t>Keele</w:t>
      </w:r>
      <w:proofErr w:type="spellEnd"/>
      <w:r w:rsidR="006D7726" w:rsidRPr="002134CC">
        <w:t xml:space="preserve"> on </w:t>
      </w:r>
      <w:r w:rsidRPr="002134CC">
        <w:t>student</w:t>
      </w:r>
      <w:r w:rsidR="006D7726" w:rsidRPr="002134CC">
        <w:t>s’</w:t>
      </w:r>
      <w:r w:rsidRPr="002134CC">
        <w:t xml:space="preserve"> a</w:t>
      </w:r>
      <w:r w:rsidR="006D7726" w:rsidRPr="002134CC">
        <w:t>ttitudes towards sustainability.</w:t>
      </w:r>
      <w:r w:rsidR="00CF13A5" w:rsidRPr="002134CC">
        <w:t xml:space="preserve">  The results of the survey are based on an average 268 student responses per question (not every student answered every question) an</w:t>
      </w:r>
      <w:r w:rsidR="007C63B6">
        <w:t>d are summarised in Appendix 3</w:t>
      </w:r>
      <w:r w:rsidR="00CF13A5" w:rsidRPr="002134CC">
        <w:t>.</w:t>
      </w:r>
      <w:r w:rsidR="00511A56" w:rsidRPr="002134CC">
        <w:t xml:space="preserve">  Almost 100% of students responding to the survey believed that sustainability is something which universities should actively incorporate and promote</w:t>
      </w:r>
      <w:r w:rsidR="00FD4C94" w:rsidRPr="002134CC">
        <w:t xml:space="preserve"> and a</w:t>
      </w:r>
      <w:r w:rsidR="00511A56" w:rsidRPr="002134CC">
        <w:t>lmost 90% of students agreed (strongly agree, agree, moderately agree) that sustainability is something which all university degree courses should actively incorporate and promote</w:t>
      </w:r>
      <w:r w:rsidR="00FD4C94" w:rsidRPr="002134CC">
        <w:t xml:space="preserve">.  Over 70% of students felt that they </w:t>
      </w:r>
      <w:proofErr w:type="spellStart"/>
      <w:r w:rsidR="00FD4C94" w:rsidRPr="002134CC">
        <w:t>i</w:t>
      </w:r>
      <w:proofErr w:type="spellEnd"/>
      <w:r w:rsidR="00FD4C94" w:rsidRPr="002134CC">
        <w:t>) knew more about sustainability issues, ii) cared more about sustainability related issues, iii) believed that their day-to-day behaviour is more sustainable, and iv) believed that they will act more sustainably in their future careers</w:t>
      </w:r>
      <w:r w:rsidR="006E02FD">
        <w:t>,</w:t>
      </w:r>
      <w:r w:rsidR="00FD4C94" w:rsidRPr="002134CC">
        <w:t xml:space="preserve"> due to their time at </w:t>
      </w:r>
      <w:proofErr w:type="spellStart"/>
      <w:r w:rsidR="00FD4C94" w:rsidRPr="002134CC">
        <w:t>Keele</w:t>
      </w:r>
      <w:proofErr w:type="spellEnd"/>
      <w:r w:rsidR="00FD4C94" w:rsidRPr="002134CC">
        <w:t>.</w:t>
      </w:r>
    </w:p>
    <w:p w:rsidR="006E02FD" w:rsidRDefault="006E02FD" w:rsidP="00F134AD"/>
    <w:p w:rsidR="006E02FD" w:rsidRDefault="006E02FD" w:rsidP="00F134AD"/>
    <w:p w:rsidR="006E02FD" w:rsidRPr="002134CC" w:rsidRDefault="006E02FD" w:rsidP="00F134AD"/>
    <w:p w:rsidR="000107CF" w:rsidRPr="002134CC" w:rsidRDefault="000107CF" w:rsidP="00AC7FE0">
      <w:pPr>
        <w:pStyle w:val="ListParagraph"/>
        <w:numPr>
          <w:ilvl w:val="0"/>
          <w:numId w:val="1"/>
        </w:numPr>
        <w:ind w:left="284" w:hanging="284"/>
        <w:rPr>
          <w:b/>
        </w:rPr>
      </w:pPr>
      <w:r w:rsidRPr="002134CC">
        <w:rPr>
          <w:b/>
        </w:rPr>
        <w:lastRenderedPageBreak/>
        <w:t>2014/15 Activity</w:t>
      </w:r>
    </w:p>
    <w:p w:rsidR="00BC76B8" w:rsidRPr="002134CC" w:rsidRDefault="00BC76B8" w:rsidP="00BC76B8">
      <w:pPr>
        <w:pStyle w:val="ListParagraph"/>
        <w:numPr>
          <w:ilvl w:val="1"/>
          <w:numId w:val="1"/>
        </w:numPr>
        <w:ind w:left="426" w:hanging="426"/>
        <w:rPr>
          <w:i/>
        </w:rPr>
      </w:pPr>
      <w:r w:rsidRPr="002134CC">
        <w:rPr>
          <w:i/>
        </w:rPr>
        <w:t>Accreditation and awards</w:t>
      </w:r>
    </w:p>
    <w:p w:rsidR="00F134AD" w:rsidRPr="002134CC" w:rsidRDefault="00BC76B8" w:rsidP="00F134AD">
      <w:r w:rsidRPr="002134CC">
        <w:rPr>
          <w:u w:val="single"/>
        </w:rPr>
        <w:t>Responsible Futures:</w:t>
      </w:r>
      <w:r w:rsidRPr="002134CC">
        <w:t xml:space="preserve"> </w:t>
      </w:r>
      <w:r w:rsidR="00F134AD" w:rsidRPr="002134CC">
        <w:t xml:space="preserve">In 2014/15 </w:t>
      </w:r>
      <w:proofErr w:type="spellStart"/>
      <w:r w:rsidR="00F134AD" w:rsidRPr="002134CC">
        <w:t>Keele</w:t>
      </w:r>
      <w:proofErr w:type="spellEnd"/>
      <w:r w:rsidR="00F134AD" w:rsidRPr="002134CC">
        <w:t xml:space="preserve"> </w:t>
      </w:r>
      <w:r w:rsidR="00E95DF0" w:rsidRPr="002134CC">
        <w:t>took part in the NUS pilot ‘R</w:t>
      </w:r>
      <w:r w:rsidR="00F134AD" w:rsidRPr="002134CC">
        <w:t xml:space="preserve">esponsible Futures’ accreditation which aims to recognize </w:t>
      </w:r>
      <w:r w:rsidR="00E95DF0" w:rsidRPr="002134CC">
        <w:t>whole</w:t>
      </w:r>
      <w:r w:rsidR="00F134AD" w:rsidRPr="002134CC">
        <w:t xml:space="preserve"> </w:t>
      </w:r>
      <w:r w:rsidR="00E95DF0" w:rsidRPr="002134CC">
        <w:t>institution</w:t>
      </w:r>
      <w:r w:rsidR="00F134AD" w:rsidRPr="002134CC">
        <w:t xml:space="preserve"> approaches to embed</w:t>
      </w:r>
      <w:r w:rsidR="00E75831">
        <w:t>ding</w:t>
      </w:r>
      <w:r w:rsidR="00F134AD" w:rsidRPr="002134CC">
        <w:t xml:space="preserve"> </w:t>
      </w:r>
      <w:r w:rsidR="00E95DF0" w:rsidRPr="002134CC">
        <w:t>sustainability</w:t>
      </w:r>
      <w:r w:rsidR="00F134AD" w:rsidRPr="002134CC">
        <w:t xml:space="preserve"> in the student experience.  </w:t>
      </w:r>
      <w:proofErr w:type="spellStart"/>
      <w:r w:rsidR="00F134AD" w:rsidRPr="002134CC">
        <w:t>Keele</w:t>
      </w:r>
      <w:proofErr w:type="spellEnd"/>
      <w:r w:rsidR="00F134AD" w:rsidRPr="002134CC">
        <w:t xml:space="preserve"> was awarded the accreditation </w:t>
      </w:r>
      <w:r w:rsidR="00E95DF0" w:rsidRPr="002134CC">
        <w:t>receiving</w:t>
      </w:r>
      <w:r w:rsidR="00F134AD" w:rsidRPr="002134CC">
        <w:t xml:space="preserve"> more than double the threshold </w:t>
      </w:r>
      <w:r w:rsidR="00E75831">
        <w:t xml:space="preserve">number of points </w:t>
      </w:r>
      <w:r w:rsidR="00F134AD" w:rsidRPr="002134CC">
        <w:t>n</w:t>
      </w:r>
      <w:r w:rsidR="00E95DF0" w:rsidRPr="002134CC">
        <w:t>eeded for accreditation.  The R</w:t>
      </w:r>
      <w:r w:rsidR="00F134AD" w:rsidRPr="002134CC">
        <w:t xml:space="preserve">esponsible Futures logo can now be used on any marketing </w:t>
      </w:r>
      <w:r w:rsidR="00E95DF0" w:rsidRPr="002134CC">
        <w:t>material</w:t>
      </w:r>
      <w:r w:rsidR="00F134AD" w:rsidRPr="002134CC">
        <w:t xml:space="preserve"> by the University.</w:t>
      </w:r>
    </w:p>
    <w:p w:rsidR="00F134AD" w:rsidRPr="002134CC" w:rsidRDefault="00F134AD" w:rsidP="00F134AD">
      <w:r w:rsidRPr="002134CC">
        <w:rPr>
          <w:noProof/>
        </w:rPr>
        <w:drawing>
          <wp:inline distT="0" distB="0" distL="0" distR="0" wp14:anchorId="04B0F19D" wp14:editId="1331BB3A">
            <wp:extent cx="1009291" cy="792083"/>
            <wp:effectExtent l="0" t="0" r="635" b="8255"/>
            <wp:docPr id="1" name="Picture 1" descr="C:\Users\gga05\Documents\Dir of E for S\Resp Futures\NUS-accredited-RF-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a05\Documents\Dir of E for S\Resp Futures\NUS-accredited-RF-colour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409" cy="792176"/>
                    </a:xfrm>
                    <a:prstGeom prst="rect">
                      <a:avLst/>
                    </a:prstGeom>
                    <a:noFill/>
                    <a:ln>
                      <a:noFill/>
                    </a:ln>
                  </pic:spPr>
                </pic:pic>
              </a:graphicData>
            </a:graphic>
          </wp:inline>
        </w:drawing>
      </w:r>
    </w:p>
    <w:p w:rsidR="00BC76B8" w:rsidRPr="002134CC" w:rsidRDefault="00BC76B8" w:rsidP="00BC76B8">
      <w:r w:rsidRPr="002134CC">
        <w:rPr>
          <w:u w:val="single"/>
        </w:rPr>
        <w:t>Green Gown Awards:</w:t>
      </w:r>
      <w:r w:rsidR="000C180F" w:rsidRPr="002134CC">
        <w:t xml:space="preserve"> In November 2014 </w:t>
      </w:r>
      <w:proofErr w:type="spellStart"/>
      <w:r w:rsidR="000C180F" w:rsidRPr="002134CC">
        <w:t>Keele</w:t>
      </w:r>
      <w:proofErr w:type="spellEnd"/>
      <w:r w:rsidR="000C180F" w:rsidRPr="002134CC">
        <w:t xml:space="preserve"> was awarded Highly Commended in the highly competitive ‘Continuous Improvement: Institutional Change’ category of Green Gown Awards.  Patrick Bailey, then PVC for Environment and Sustainability, won the new ‘Leadership’ category at these awards.    </w:t>
      </w:r>
    </w:p>
    <w:p w:rsidR="00FD48E5" w:rsidRPr="002134CC" w:rsidRDefault="00FD48E5" w:rsidP="00FD48E5">
      <w:pPr>
        <w:pStyle w:val="ListParagraph"/>
        <w:numPr>
          <w:ilvl w:val="1"/>
          <w:numId w:val="1"/>
        </w:numPr>
        <w:ind w:left="426" w:hanging="426"/>
        <w:rPr>
          <w:i/>
        </w:rPr>
      </w:pPr>
      <w:r w:rsidRPr="002134CC">
        <w:rPr>
          <w:i/>
        </w:rPr>
        <w:t>Curriculum developments</w:t>
      </w:r>
    </w:p>
    <w:p w:rsidR="00FD48E5" w:rsidRPr="002134CC" w:rsidRDefault="00FD48E5" w:rsidP="00FD48E5">
      <w:pPr>
        <w:pStyle w:val="ListParagraph"/>
        <w:ind w:left="426"/>
        <w:rPr>
          <w:u w:val="single"/>
        </w:rPr>
      </w:pPr>
      <w:r w:rsidRPr="002134CC">
        <w:rPr>
          <w:u w:val="single"/>
        </w:rPr>
        <w:t xml:space="preserve">Away days: </w:t>
      </w:r>
    </w:p>
    <w:p w:rsidR="00FD48E5" w:rsidRPr="002134CC" w:rsidRDefault="00FD48E5" w:rsidP="00FD48E5">
      <w:r w:rsidRPr="002134CC">
        <w:t>Following the piloting in 2013/14 of the use of Away Days to embed sustainability into programmes through using sustainability-discipline linkages to deliver core skills, this approach was continued in 2014/15 for Chemistry at years 1 and 2, Media, Communications and Culture and Physics, engaging approximately 120 students.  Feedback suggested an increase in student awareness of Environmental and Ethical issues within their subject area, and an increased likelihood of taking these issues into consideration in their personal and professional decision making</w:t>
      </w:r>
      <w:r w:rsidR="00E75831">
        <w:t xml:space="preserve"> (Table 2</w:t>
      </w:r>
      <w:r w:rsidRPr="002134CC">
        <w:t>).</w:t>
      </w:r>
    </w:p>
    <w:p w:rsidR="00FD48E5" w:rsidRDefault="00FD48E5" w:rsidP="00E75831">
      <w:pPr>
        <w:spacing w:after="240" w:line="240" w:lineRule="auto"/>
        <w:contextualSpacing/>
        <w:jc w:val="center"/>
        <w:rPr>
          <w:sz w:val="20"/>
        </w:rPr>
      </w:pPr>
      <w:proofErr w:type="gramStart"/>
      <w:r w:rsidRPr="00E75831">
        <w:rPr>
          <w:b/>
          <w:sz w:val="20"/>
        </w:rPr>
        <w:t xml:space="preserve">Table </w:t>
      </w:r>
      <w:r w:rsidR="00E75831" w:rsidRPr="00E75831">
        <w:rPr>
          <w:b/>
          <w:sz w:val="20"/>
        </w:rPr>
        <w:t>2.</w:t>
      </w:r>
      <w:proofErr w:type="gramEnd"/>
      <w:r w:rsidR="00E75831" w:rsidRPr="00E75831">
        <w:rPr>
          <w:b/>
          <w:sz w:val="20"/>
        </w:rPr>
        <w:t xml:space="preserve"> </w:t>
      </w:r>
      <w:r w:rsidR="00E75831">
        <w:rPr>
          <w:sz w:val="20"/>
        </w:rPr>
        <w:t>Summary of student feedback from sustainability-linked Away days in 2014 and 2015 (E+E = environmental and ethical)</w:t>
      </w:r>
    </w:p>
    <w:p w:rsidR="00E75831" w:rsidRPr="00E75831" w:rsidRDefault="00E75831" w:rsidP="00FD48E5">
      <w:pPr>
        <w:spacing w:after="240" w:line="240" w:lineRule="auto"/>
        <w:contextualSpacing/>
        <w:rPr>
          <w:sz w:val="20"/>
        </w:rPr>
      </w:pPr>
    </w:p>
    <w:tbl>
      <w:tblPr>
        <w:tblStyle w:val="TableGrid"/>
        <w:tblW w:w="0" w:type="auto"/>
        <w:tblLook w:val="04A0" w:firstRow="1" w:lastRow="0" w:firstColumn="1" w:lastColumn="0" w:noHBand="0" w:noVBand="1"/>
      </w:tblPr>
      <w:tblGrid>
        <w:gridCol w:w="2078"/>
        <w:gridCol w:w="1079"/>
        <w:gridCol w:w="2051"/>
        <w:gridCol w:w="2323"/>
        <w:gridCol w:w="2323"/>
      </w:tblGrid>
      <w:tr w:rsidR="00FD48E5" w:rsidRPr="002134CC" w:rsidTr="0005164A">
        <w:tc>
          <w:tcPr>
            <w:tcW w:w="3179" w:type="dxa"/>
            <w:gridSpan w:val="2"/>
            <w:tcBorders>
              <w:top w:val="nil"/>
              <w:left w:val="nil"/>
            </w:tcBorders>
          </w:tcPr>
          <w:p w:rsidR="00FD48E5" w:rsidRPr="002134CC" w:rsidRDefault="00FD48E5" w:rsidP="0005164A">
            <w:pPr>
              <w:spacing w:after="240"/>
              <w:contextualSpacing/>
            </w:pPr>
          </w:p>
        </w:tc>
        <w:tc>
          <w:tcPr>
            <w:tcW w:w="6783" w:type="dxa"/>
            <w:gridSpan w:val="3"/>
          </w:tcPr>
          <w:p w:rsidR="00FD48E5" w:rsidRPr="002134CC" w:rsidRDefault="00FD48E5" w:rsidP="0005164A">
            <w:pPr>
              <w:spacing w:after="240"/>
              <w:contextualSpacing/>
            </w:pPr>
            <w:r w:rsidRPr="002134CC">
              <w:t>Students were asked to rate these before and after the session out of 5. The results below show the increase in these numbers due to the session.</w:t>
            </w:r>
          </w:p>
        </w:tc>
      </w:tr>
      <w:tr w:rsidR="00FD48E5" w:rsidRPr="002134CC" w:rsidTr="0005164A">
        <w:tc>
          <w:tcPr>
            <w:tcW w:w="2093" w:type="dxa"/>
          </w:tcPr>
          <w:p w:rsidR="00FD48E5" w:rsidRPr="002134CC" w:rsidRDefault="00FD48E5" w:rsidP="0005164A">
            <w:pPr>
              <w:spacing w:after="240"/>
              <w:contextualSpacing/>
              <w:rPr>
                <w:b/>
              </w:rPr>
            </w:pPr>
            <w:r w:rsidRPr="002134CC">
              <w:rPr>
                <w:b/>
              </w:rPr>
              <w:t>Subject</w:t>
            </w:r>
          </w:p>
        </w:tc>
        <w:tc>
          <w:tcPr>
            <w:tcW w:w="1086" w:type="dxa"/>
          </w:tcPr>
          <w:p w:rsidR="00FD48E5" w:rsidRPr="002134CC" w:rsidRDefault="00FD48E5" w:rsidP="0005164A">
            <w:pPr>
              <w:spacing w:after="240"/>
              <w:contextualSpacing/>
            </w:pPr>
            <w:r w:rsidRPr="002134CC">
              <w:t>Overall rating (out of 5)</w:t>
            </w:r>
          </w:p>
        </w:tc>
        <w:tc>
          <w:tcPr>
            <w:tcW w:w="2077" w:type="dxa"/>
          </w:tcPr>
          <w:p w:rsidR="00FD48E5" w:rsidRPr="002134CC" w:rsidRDefault="00FD48E5" w:rsidP="0005164A">
            <w:pPr>
              <w:spacing w:after="240"/>
              <w:contextualSpacing/>
            </w:pPr>
            <w:r w:rsidRPr="002134CC">
              <w:t>Increased awareness of E+E issues within subject area</w:t>
            </w:r>
          </w:p>
        </w:tc>
        <w:tc>
          <w:tcPr>
            <w:tcW w:w="2353" w:type="dxa"/>
          </w:tcPr>
          <w:p w:rsidR="00FD48E5" w:rsidRPr="002134CC" w:rsidRDefault="00FD48E5" w:rsidP="0005164A">
            <w:pPr>
              <w:spacing w:after="240"/>
              <w:contextualSpacing/>
            </w:pPr>
            <w:r w:rsidRPr="002134CC">
              <w:t>Likelihood of taking into account E+E implications within personal decisions</w:t>
            </w:r>
          </w:p>
        </w:tc>
        <w:tc>
          <w:tcPr>
            <w:tcW w:w="2353" w:type="dxa"/>
          </w:tcPr>
          <w:p w:rsidR="00FD48E5" w:rsidRPr="002134CC" w:rsidRDefault="00FD48E5" w:rsidP="0005164A">
            <w:pPr>
              <w:spacing w:after="240"/>
              <w:contextualSpacing/>
            </w:pPr>
            <w:r w:rsidRPr="002134CC">
              <w:t>Likelihood of taking into account E+E implications within future professional life</w:t>
            </w:r>
          </w:p>
        </w:tc>
      </w:tr>
      <w:tr w:rsidR="00FD48E5" w:rsidRPr="002134CC" w:rsidTr="0005164A">
        <w:tc>
          <w:tcPr>
            <w:tcW w:w="2093" w:type="dxa"/>
          </w:tcPr>
          <w:p w:rsidR="00FD48E5" w:rsidRPr="002134CC" w:rsidRDefault="00FD48E5" w:rsidP="0005164A">
            <w:pPr>
              <w:spacing w:after="240"/>
              <w:contextualSpacing/>
              <w:rPr>
                <w:b/>
              </w:rPr>
            </w:pPr>
            <w:r w:rsidRPr="002134CC">
              <w:rPr>
                <w:b/>
              </w:rPr>
              <w:t>2014 Yr1 Chemistry</w:t>
            </w:r>
          </w:p>
        </w:tc>
        <w:tc>
          <w:tcPr>
            <w:tcW w:w="1086" w:type="dxa"/>
          </w:tcPr>
          <w:p w:rsidR="00FD48E5" w:rsidRPr="002134CC" w:rsidRDefault="00FD48E5" w:rsidP="0005164A">
            <w:pPr>
              <w:spacing w:after="240"/>
              <w:contextualSpacing/>
            </w:pPr>
            <w:r w:rsidRPr="002134CC">
              <w:t>3.55</w:t>
            </w:r>
          </w:p>
        </w:tc>
        <w:tc>
          <w:tcPr>
            <w:tcW w:w="2077" w:type="dxa"/>
          </w:tcPr>
          <w:p w:rsidR="00FD48E5" w:rsidRPr="002134CC" w:rsidRDefault="00FD48E5" w:rsidP="0005164A">
            <w:pPr>
              <w:spacing w:after="240"/>
              <w:contextualSpacing/>
            </w:pPr>
            <w:r w:rsidRPr="002134CC">
              <w:t>1.1</w:t>
            </w:r>
          </w:p>
        </w:tc>
        <w:tc>
          <w:tcPr>
            <w:tcW w:w="2353" w:type="dxa"/>
          </w:tcPr>
          <w:p w:rsidR="00FD48E5" w:rsidRPr="002134CC" w:rsidRDefault="00FD48E5" w:rsidP="0005164A">
            <w:pPr>
              <w:spacing w:after="240"/>
              <w:contextualSpacing/>
            </w:pPr>
            <w:r w:rsidRPr="002134CC">
              <w:t>0.9</w:t>
            </w:r>
          </w:p>
        </w:tc>
        <w:tc>
          <w:tcPr>
            <w:tcW w:w="2353" w:type="dxa"/>
          </w:tcPr>
          <w:p w:rsidR="00FD48E5" w:rsidRPr="002134CC" w:rsidRDefault="00FD48E5" w:rsidP="0005164A">
            <w:pPr>
              <w:spacing w:after="240"/>
              <w:contextualSpacing/>
            </w:pPr>
            <w:r w:rsidRPr="002134CC">
              <w:t>0.9</w:t>
            </w:r>
          </w:p>
        </w:tc>
      </w:tr>
      <w:tr w:rsidR="00FD48E5" w:rsidRPr="002134CC" w:rsidTr="0005164A">
        <w:tc>
          <w:tcPr>
            <w:tcW w:w="2093" w:type="dxa"/>
          </w:tcPr>
          <w:p w:rsidR="00FD48E5" w:rsidRPr="002134CC" w:rsidRDefault="00FD48E5" w:rsidP="0005164A">
            <w:pPr>
              <w:spacing w:after="240"/>
              <w:contextualSpacing/>
              <w:rPr>
                <w:b/>
              </w:rPr>
            </w:pPr>
            <w:r w:rsidRPr="002134CC">
              <w:rPr>
                <w:b/>
              </w:rPr>
              <w:t>2014 Yr1 Politics</w:t>
            </w:r>
          </w:p>
        </w:tc>
        <w:tc>
          <w:tcPr>
            <w:tcW w:w="1086" w:type="dxa"/>
          </w:tcPr>
          <w:p w:rsidR="00FD48E5" w:rsidRPr="002134CC" w:rsidRDefault="00FD48E5" w:rsidP="0005164A">
            <w:pPr>
              <w:spacing w:after="240"/>
              <w:contextualSpacing/>
            </w:pPr>
            <w:r w:rsidRPr="002134CC">
              <w:t>3.86</w:t>
            </w:r>
          </w:p>
        </w:tc>
        <w:tc>
          <w:tcPr>
            <w:tcW w:w="2077" w:type="dxa"/>
          </w:tcPr>
          <w:p w:rsidR="00FD48E5" w:rsidRPr="002134CC" w:rsidRDefault="00FD48E5" w:rsidP="0005164A">
            <w:pPr>
              <w:spacing w:after="240"/>
              <w:contextualSpacing/>
            </w:pPr>
            <w:r w:rsidRPr="002134CC">
              <w:t>Low Response Rate</w:t>
            </w:r>
          </w:p>
        </w:tc>
        <w:tc>
          <w:tcPr>
            <w:tcW w:w="2353" w:type="dxa"/>
          </w:tcPr>
          <w:p w:rsidR="00FD48E5" w:rsidRPr="002134CC" w:rsidRDefault="00FD48E5" w:rsidP="0005164A">
            <w:pPr>
              <w:spacing w:after="240"/>
              <w:contextualSpacing/>
            </w:pPr>
            <w:r w:rsidRPr="002134CC">
              <w:t>Low Response Rate</w:t>
            </w:r>
          </w:p>
        </w:tc>
        <w:tc>
          <w:tcPr>
            <w:tcW w:w="2353" w:type="dxa"/>
          </w:tcPr>
          <w:p w:rsidR="00FD48E5" w:rsidRPr="002134CC" w:rsidRDefault="00FD48E5" w:rsidP="0005164A">
            <w:pPr>
              <w:spacing w:after="240"/>
              <w:contextualSpacing/>
            </w:pPr>
            <w:r w:rsidRPr="002134CC">
              <w:t>Low Response Rate</w:t>
            </w:r>
          </w:p>
        </w:tc>
      </w:tr>
      <w:tr w:rsidR="00FD48E5" w:rsidRPr="002134CC" w:rsidTr="0005164A">
        <w:tc>
          <w:tcPr>
            <w:tcW w:w="2093" w:type="dxa"/>
          </w:tcPr>
          <w:p w:rsidR="00FD48E5" w:rsidRPr="002134CC" w:rsidRDefault="00FD48E5" w:rsidP="0005164A">
            <w:pPr>
              <w:spacing w:after="240"/>
              <w:contextualSpacing/>
              <w:rPr>
                <w:b/>
              </w:rPr>
            </w:pPr>
            <w:r w:rsidRPr="002134CC">
              <w:rPr>
                <w:b/>
              </w:rPr>
              <w:t>2014 Yr1 Physiotherapy</w:t>
            </w:r>
          </w:p>
        </w:tc>
        <w:tc>
          <w:tcPr>
            <w:tcW w:w="1086" w:type="dxa"/>
          </w:tcPr>
          <w:p w:rsidR="00FD48E5" w:rsidRPr="002134CC" w:rsidRDefault="00FD48E5" w:rsidP="0005164A">
            <w:pPr>
              <w:spacing w:after="240"/>
              <w:contextualSpacing/>
            </w:pPr>
            <w:r w:rsidRPr="002134CC">
              <w:t>3.81</w:t>
            </w:r>
          </w:p>
        </w:tc>
        <w:tc>
          <w:tcPr>
            <w:tcW w:w="2077" w:type="dxa"/>
          </w:tcPr>
          <w:p w:rsidR="00FD48E5" w:rsidRPr="002134CC" w:rsidRDefault="00FD48E5" w:rsidP="0005164A">
            <w:pPr>
              <w:spacing w:after="240"/>
              <w:contextualSpacing/>
            </w:pPr>
            <w:r w:rsidRPr="002134CC">
              <w:t>1.7</w:t>
            </w:r>
          </w:p>
        </w:tc>
        <w:tc>
          <w:tcPr>
            <w:tcW w:w="2353" w:type="dxa"/>
          </w:tcPr>
          <w:p w:rsidR="00FD48E5" w:rsidRPr="002134CC" w:rsidRDefault="00FD48E5" w:rsidP="0005164A">
            <w:pPr>
              <w:spacing w:after="240"/>
              <w:contextualSpacing/>
            </w:pPr>
            <w:r w:rsidRPr="002134CC">
              <w:t>1.1</w:t>
            </w:r>
          </w:p>
        </w:tc>
        <w:tc>
          <w:tcPr>
            <w:tcW w:w="2353" w:type="dxa"/>
          </w:tcPr>
          <w:p w:rsidR="00FD48E5" w:rsidRPr="002134CC" w:rsidRDefault="00FD48E5" w:rsidP="0005164A">
            <w:pPr>
              <w:spacing w:after="240"/>
              <w:contextualSpacing/>
            </w:pPr>
            <w:r w:rsidRPr="002134CC">
              <w:t>1.2</w:t>
            </w:r>
          </w:p>
        </w:tc>
      </w:tr>
      <w:tr w:rsidR="00FD48E5" w:rsidRPr="002134CC" w:rsidTr="0005164A">
        <w:tc>
          <w:tcPr>
            <w:tcW w:w="2093" w:type="dxa"/>
          </w:tcPr>
          <w:p w:rsidR="00FD48E5" w:rsidRPr="002134CC" w:rsidRDefault="00FD48E5" w:rsidP="0005164A">
            <w:pPr>
              <w:spacing w:after="240"/>
              <w:contextualSpacing/>
              <w:rPr>
                <w:b/>
              </w:rPr>
            </w:pPr>
            <w:r w:rsidRPr="002134CC">
              <w:rPr>
                <w:b/>
              </w:rPr>
              <w:t xml:space="preserve">2015 </w:t>
            </w:r>
            <w:proofErr w:type="spellStart"/>
            <w:r w:rsidRPr="002134CC">
              <w:rPr>
                <w:b/>
              </w:rPr>
              <w:t>Yr</w:t>
            </w:r>
            <w:proofErr w:type="spellEnd"/>
            <w:r w:rsidRPr="002134CC">
              <w:rPr>
                <w:b/>
              </w:rPr>
              <w:t xml:space="preserve"> 1 Chemistry</w:t>
            </w:r>
          </w:p>
        </w:tc>
        <w:tc>
          <w:tcPr>
            <w:tcW w:w="1086" w:type="dxa"/>
          </w:tcPr>
          <w:p w:rsidR="00FD48E5" w:rsidRPr="002134CC" w:rsidRDefault="00FD48E5" w:rsidP="0005164A">
            <w:pPr>
              <w:spacing w:after="240"/>
              <w:contextualSpacing/>
            </w:pPr>
          </w:p>
        </w:tc>
        <w:tc>
          <w:tcPr>
            <w:tcW w:w="2077" w:type="dxa"/>
          </w:tcPr>
          <w:p w:rsidR="00FD48E5" w:rsidRPr="002134CC" w:rsidRDefault="00FD48E5" w:rsidP="0005164A">
            <w:pPr>
              <w:spacing w:after="240"/>
              <w:contextualSpacing/>
            </w:pPr>
            <w:r w:rsidRPr="002134CC">
              <w:t>Low Response Rate</w:t>
            </w:r>
          </w:p>
        </w:tc>
        <w:tc>
          <w:tcPr>
            <w:tcW w:w="2353" w:type="dxa"/>
          </w:tcPr>
          <w:p w:rsidR="00FD48E5" w:rsidRPr="002134CC" w:rsidRDefault="00FD48E5" w:rsidP="0005164A">
            <w:pPr>
              <w:spacing w:after="240"/>
              <w:contextualSpacing/>
            </w:pPr>
            <w:r w:rsidRPr="002134CC">
              <w:t>Low Response Rate</w:t>
            </w:r>
          </w:p>
        </w:tc>
        <w:tc>
          <w:tcPr>
            <w:tcW w:w="2353" w:type="dxa"/>
          </w:tcPr>
          <w:p w:rsidR="00FD48E5" w:rsidRPr="002134CC" w:rsidRDefault="00FD48E5" w:rsidP="0005164A">
            <w:pPr>
              <w:spacing w:after="240"/>
              <w:contextualSpacing/>
            </w:pPr>
            <w:r w:rsidRPr="002134CC">
              <w:t>Low Response Rate</w:t>
            </w:r>
          </w:p>
        </w:tc>
      </w:tr>
      <w:tr w:rsidR="00FD48E5" w:rsidRPr="002134CC" w:rsidTr="0005164A">
        <w:tc>
          <w:tcPr>
            <w:tcW w:w="2093" w:type="dxa"/>
          </w:tcPr>
          <w:p w:rsidR="00FD48E5" w:rsidRPr="002134CC" w:rsidRDefault="00FD48E5" w:rsidP="0005164A">
            <w:pPr>
              <w:spacing w:after="240"/>
              <w:contextualSpacing/>
              <w:rPr>
                <w:b/>
              </w:rPr>
            </w:pPr>
            <w:r w:rsidRPr="002134CC">
              <w:rPr>
                <w:b/>
              </w:rPr>
              <w:t xml:space="preserve">2015 </w:t>
            </w:r>
            <w:proofErr w:type="spellStart"/>
            <w:r w:rsidRPr="002134CC">
              <w:rPr>
                <w:b/>
              </w:rPr>
              <w:t>Yr</w:t>
            </w:r>
            <w:proofErr w:type="spellEnd"/>
            <w:r w:rsidRPr="002134CC">
              <w:rPr>
                <w:b/>
              </w:rPr>
              <w:t xml:space="preserve"> 2 Chemistry</w:t>
            </w:r>
          </w:p>
        </w:tc>
        <w:tc>
          <w:tcPr>
            <w:tcW w:w="1086" w:type="dxa"/>
          </w:tcPr>
          <w:p w:rsidR="00FD48E5" w:rsidRPr="002134CC" w:rsidRDefault="00FD48E5" w:rsidP="0005164A">
            <w:pPr>
              <w:spacing w:after="240"/>
              <w:contextualSpacing/>
            </w:pPr>
            <w:r w:rsidRPr="002134CC">
              <w:t>4.4</w:t>
            </w:r>
          </w:p>
        </w:tc>
        <w:tc>
          <w:tcPr>
            <w:tcW w:w="2077" w:type="dxa"/>
          </w:tcPr>
          <w:p w:rsidR="00FD48E5" w:rsidRPr="002134CC" w:rsidRDefault="00FD48E5" w:rsidP="0005164A">
            <w:pPr>
              <w:spacing w:after="240"/>
              <w:contextualSpacing/>
            </w:pPr>
            <w:r w:rsidRPr="002134CC">
              <w:t>1.8</w:t>
            </w:r>
          </w:p>
        </w:tc>
        <w:tc>
          <w:tcPr>
            <w:tcW w:w="2353" w:type="dxa"/>
          </w:tcPr>
          <w:p w:rsidR="00FD48E5" w:rsidRPr="002134CC" w:rsidRDefault="00FD48E5" w:rsidP="0005164A">
            <w:pPr>
              <w:spacing w:after="240"/>
              <w:contextualSpacing/>
            </w:pPr>
            <w:r w:rsidRPr="002134CC">
              <w:t>1.7</w:t>
            </w:r>
          </w:p>
        </w:tc>
        <w:tc>
          <w:tcPr>
            <w:tcW w:w="2353" w:type="dxa"/>
          </w:tcPr>
          <w:p w:rsidR="00FD48E5" w:rsidRPr="002134CC" w:rsidRDefault="00FD48E5" w:rsidP="0005164A">
            <w:pPr>
              <w:spacing w:after="240"/>
              <w:contextualSpacing/>
            </w:pPr>
            <w:r w:rsidRPr="002134CC">
              <w:t>1.7</w:t>
            </w:r>
          </w:p>
        </w:tc>
      </w:tr>
      <w:tr w:rsidR="00FD48E5" w:rsidRPr="002134CC" w:rsidTr="0005164A">
        <w:tc>
          <w:tcPr>
            <w:tcW w:w="2093" w:type="dxa"/>
          </w:tcPr>
          <w:p w:rsidR="00FD48E5" w:rsidRPr="002134CC" w:rsidRDefault="00FD48E5" w:rsidP="0005164A">
            <w:pPr>
              <w:spacing w:after="240"/>
              <w:contextualSpacing/>
              <w:rPr>
                <w:b/>
              </w:rPr>
            </w:pPr>
            <w:r w:rsidRPr="002134CC">
              <w:rPr>
                <w:b/>
              </w:rPr>
              <w:t>2015 Yr1 MCC</w:t>
            </w:r>
          </w:p>
        </w:tc>
        <w:tc>
          <w:tcPr>
            <w:tcW w:w="1086" w:type="dxa"/>
          </w:tcPr>
          <w:p w:rsidR="00FD48E5" w:rsidRPr="002134CC" w:rsidRDefault="00FD48E5" w:rsidP="0005164A">
            <w:pPr>
              <w:spacing w:after="240"/>
              <w:contextualSpacing/>
            </w:pPr>
            <w:r w:rsidRPr="002134CC">
              <w:t>3.6</w:t>
            </w:r>
          </w:p>
        </w:tc>
        <w:tc>
          <w:tcPr>
            <w:tcW w:w="2077" w:type="dxa"/>
          </w:tcPr>
          <w:p w:rsidR="00FD48E5" w:rsidRPr="002134CC" w:rsidRDefault="00FD48E5" w:rsidP="0005164A">
            <w:pPr>
              <w:spacing w:after="240"/>
              <w:contextualSpacing/>
            </w:pPr>
            <w:r w:rsidRPr="002134CC">
              <w:t>0.8</w:t>
            </w:r>
          </w:p>
        </w:tc>
        <w:tc>
          <w:tcPr>
            <w:tcW w:w="2353" w:type="dxa"/>
          </w:tcPr>
          <w:p w:rsidR="00FD48E5" w:rsidRPr="002134CC" w:rsidRDefault="00FD48E5" w:rsidP="0005164A">
            <w:pPr>
              <w:spacing w:after="240"/>
              <w:contextualSpacing/>
            </w:pPr>
            <w:r w:rsidRPr="002134CC">
              <w:t>0.8</w:t>
            </w:r>
          </w:p>
        </w:tc>
        <w:tc>
          <w:tcPr>
            <w:tcW w:w="2353" w:type="dxa"/>
          </w:tcPr>
          <w:p w:rsidR="00FD48E5" w:rsidRPr="002134CC" w:rsidRDefault="00FD48E5" w:rsidP="0005164A">
            <w:pPr>
              <w:spacing w:after="240"/>
              <w:contextualSpacing/>
            </w:pPr>
            <w:r w:rsidRPr="002134CC">
              <w:t>0.7</w:t>
            </w:r>
          </w:p>
        </w:tc>
      </w:tr>
    </w:tbl>
    <w:p w:rsidR="00FD48E5" w:rsidRPr="002134CC" w:rsidRDefault="00FD48E5" w:rsidP="00FD48E5"/>
    <w:p w:rsidR="00FD48E5" w:rsidRPr="002134CC" w:rsidRDefault="00FD48E5" w:rsidP="00FD48E5">
      <w:pPr>
        <w:jc w:val="center"/>
        <w:rPr>
          <w:b/>
        </w:rPr>
      </w:pPr>
      <w:r w:rsidRPr="002134CC">
        <w:rPr>
          <w:i/>
        </w:rPr>
        <w:t xml:space="preserve">‘Whilst putting together a plan for our three meetings, my awareness was raised of the business costs of sustainable development’ </w:t>
      </w:r>
      <w:r w:rsidRPr="002134CC">
        <w:rPr>
          <w:b/>
        </w:rPr>
        <w:t>1</w:t>
      </w:r>
      <w:r w:rsidRPr="002134CC">
        <w:rPr>
          <w:b/>
          <w:vertAlign w:val="superscript"/>
        </w:rPr>
        <w:t>st</w:t>
      </w:r>
      <w:r w:rsidRPr="002134CC">
        <w:rPr>
          <w:b/>
        </w:rPr>
        <w:t xml:space="preserve"> Year Chemistry Student feedback </w:t>
      </w:r>
    </w:p>
    <w:p w:rsidR="00FD48E5" w:rsidRPr="002134CC" w:rsidRDefault="00FD48E5" w:rsidP="00FD48E5">
      <w:pPr>
        <w:jc w:val="center"/>
        <w:rPr>
          <w:i/>
        </w:rPr>
      </w:pPr>
      <w:r w:rsidRPr="002134CC">
        <w:rPr>
          <w:i/>
        </w:rPr>
        <w:t xml:space="preserve">‘As physios, we never usually know about environmental implications relating to healthcare’ </w:t>
      </w:r>
      <w:r w:rsidRPr="002134CC">
        <w:rPr>
          <w:b/>
        </w:rPr>
        <w:t>1</w:t>
      </w:r>
      <w:r w:rsidRPr="002134CC">
        <w:rPr>
          <w:b/>
          <w:vertAlign w:val="superscript"/>
        </w:rPr>
        <w:t>st</w:t>
      </w:r>
      <w:r w:rsidRPr="002134CC">
        <w:rPr>
          <w:b/>
        </w:rPr>
        <w:t xml:space="preserve"> Year Physiotherapy Student feedback, 2014</w:t>
      </w:r>
    </w:p>
    <w:p w:rsidR="00FD48E5" w:rsidRPr="002134CC" w:rsidRDefault="00FD48E5" w:rsidP="00FD48E5">
      <w:r w:rsidRPr="002134CC">
        <w:rPr>
          <w:u w:val="single"/>
        </w:rPr>
        <w:lastRenderedPageBreak/>
        <w:t>Additional curriculum support:</w:t>
      </w:r>
      <w:r w:rsidRPr="002134CC">
        <w:t xml:space="preserve"> Additional work to integrate sustainability into different programmes includes a session run for 30 Midwifery students as part of their core programme, a tour of sustainability features of the university for 25 Chemistry students, and the development of a resource about sustainability and Nursing, to support integration of sustainability into the Nursing programme.</w:t>
      </w:r>
    </w:p>
    <w:p w:rsidR="000107CF" w:rsidRPr="002134CC" w:rsidRDefault="000107CF" w:rsidP="00AA7918">
      <w:pPr>
        <w:pStyle w:val="ListParagraph"/>
        <w:numPr>
          <w:ilvl w:val="1"/>
          <w:numId w:val="1"/>
        </w:numPr>
        <w:ind w:left="426" w:hanging="426"/>
        <w:rPr>
          <w:i/>
        </w:rPr>
      </w:pPr>
      <w:r w:rsidRPr="002134CC">
        <w:rPr>
          <w:i/>
        </w:rPr>
        <w:t>Be More</w:t>
      </w:r>
    </w:p>
    <w:p w:rsidR="00FD48E5" w:rsidRPr="002134CC" w:rsidRDefault="00AA7918" w:rsidP="00AA7918">
      <w:r w:rsidRPr="002134CC">
        <w:t xml:space="preserve">Three sustainability-related events were run as part of the Be More weeks.  These were </w:t>
      </w:r>
      <w:r w:rsidR="00540C3F" w:rsidRPr="002134CC">
        <w:t>‘</w:t>
      </w:r>
      <w:r w:rsidRPr="002134CC">
        <w:t>Be More Visionary</w:t>
      </w:r>
      <w:r w:rsidR="00540C3F" w:rsidRPr="002134CC">
        <w:t>’</w:t>
      </w:r>
      <w:r w:rsidRPr="002134CC">
        <w:t xml:space="preserve"> looking at future visions of society, </w:t>
      </w:r>
      <w:r w:rsidR="00540C3F" w:rsidRPr="002134CC">
        <w:t>‘</w:t>
      </w:r>
      <w:r w:rsidRPr="002134CC">
        <w:t>Be More Tasty</w:t>
      </w:r>
      <w:r w:rsidR="00540C3F" w:rsidRPr="002134CC">
        <w:t>’</w:t>
      </w:r>
      <w:r w:rsidRPr="002134CC">
        <w:t xml:space="preserve"> looking at food waste issues and foraging around the </w:t>
      </w:r>
      <w:proofErr w:type="spellStart"/>
      <w:r w:rsidRPr="002134CC">
        <w:t>Keele</w:t>
      </w:r>
      <w:proofErr w:type="spellEnd"/>
      <w:r w:rsidRPr="002134CC">
        <w:t xml:space="preserve"> campus, and </w:t>
      </w:r>
      <w:r w:rsidR="00540C3F" w:rsidRPr="002134CC">
        <w:t>‘Be More R</w:t>
      </w:r>
      <w:r w:rsidRPr="002134CC">
        <w:t>esourceful</w:t>
      </w:r>
      <w:r w:rsidR="00540C3F" w:rsidRPr="002134CC">
        <w:t>’</w:t>
      </w:r>
      <w:r w:rsidRPr="002134CC">
        <w:t xml:space="preserve"> looking at environment</w:t>
      </w:r>
      <w:r w:rsidR="00540C3F" w:rsidRPr="002134CC">
        <w:t>al</w:t>
      </w:r>
      <w:r w:rsidRPr="002134CC">
        <w:t xml:space="preserve"> decision making and resource use models in business.  Attendance at these events was low with only 8 students in total</w:t>
      </w:r>
      <w:r w:rsidR="003C18D7" w:rsidRPr="002134CC">
        <w:t>, although feedback was positive</w:t>
      </w:r>
      <w:r w:rsidRPr="002134CC">
        <w:t>.</w:t>
      </w:r>
    </w:p>
    <w:p w:rsidR="00FD48E5" w:rsidRPr="002134CC" w:rsidRDefault="00FD48E5" w:rsidP="00841824">
      <w:pPr>
        <w:pStyle w:val="ListParagraph"/>
        <w:numPr>
          <w:ilvl w:val="1"/>
          <w:numId w:val="1"/>
        </w:numPr>
        <w:ind w:left="426" w:hanging="426"/>
        <w:rPr>
          <w:i/>
        </w:rPr>
      </w:pPr>
      <w:r w:rsidRPr="002134CC">
        <w:rPr>
          <w:i/>
        </w:rPr>
        <w:t>Student Engagement Activities</w:t>
      </w:r>
    </w:p>
    <w:p w:rsidR="004E3DDF" w:rsidRPr="002134CC" w:rsidRDefault="00720B3C" w:rsidP="004E3DDF">
      <w:r w:rsidRPr="002134CC">
        <w:t xml:space="preserve">There are many co-curriculum opportunities for students to becoming involved in sustainability activities </w:t>
      </w:r>
      <w:r w:rsidR="00E75831">
        <w:t xml:space="preserve">which are </w:t>
      </w:r>
      <w:r w:rsidRPr="002134CC">
        <w:t xml:space="preserve">supported by the </w:t>
      </w:r>
      <w:proofErr w:type="spellStart"/>
      <w:r w:rsidRPr="002134CC">
        <w:t>EfS</w:t>
      </w:r>
      <w:proofErr w:type="spellEnd"/>
      <w:r w:rsidRPr="002134CC">
        <w:t xml:space="preserve"> team.  Some of these are student-led, others led by the Students</w:t>
      </w:r>
      <w:r w:rsidR="00E75831">
        <w:t>’</w:t>
      </w:r>
      <w:r w:rsidRPr="002134CC">
        <w:t xml:space="preserve"> Union, and others led by the </w:t>
      </w:r>
      <w:proofErr w:type="spellStart"/>
      <w:r w:rsidRPr="002134CC">
        <w:t>EfS</w:t>
      </w:r>
      <w:proofErr w:type="spellEnd"/>
      <w:r w:rsidRPr="002134CC">
        <w:t xml:space="preserve"> team.  </w:t>
      </w:r>
      <w:r w:rsidR="004E3DDF" w:rsidRPr="002134CC">
        <w:t>The University’s annual Green Week was run in March, later</w:t>
      </w:r>
      <w:r w:rsidRPr="002134CC">
        <w:t xml:space="preserve"> in the year than the national P</w:t>
      </w:r>
      <w:r w:rsidR="00E75831">
        <w:t>eople and Planet G</w:t>
      </w:r>
      <w:r w:rsidR="004E3DDF" w:rsidRPr="002134CC">
        <w:t xml:space="preserve">reen Week, in order to increase the chance of better weather. </w:t>
      </w:r>
      <w:r w:rsidRPr="002134CC">
        <w:t>The week of events, lectures, workshops and campaigns involved 15 student volunteers, contributing around 100 hours, with around 60 people attending events.  Sustainability</w:t>
      </w:r>
      <w:r w:rsidR="00E75831">
        <w:t>-</w:t>
      </w:r>
      <w:r w:rsidRPr="002134CC">
        <w:t>related film screenings were included in Refugee Week and through the Chapel, and</w:t>
      </w:r>
      <w:r w:rsidR="00E75831">
        <w:t xml:space="preserve"> other sustainability activities</w:t>
      </w:r>
      <w:r w:rsidRPr="002134CC">
        <w:t xml:space="preserve"> included in Fairtrade Fortnight and the World Festival.  The </w:t>
      </w:r>
      <w:proofErr w:type="spellStart"/>
      <w:r w:rsidRPr="002134CC">
        <w:t>EfS</w:t>
      </w:r>
      <w:proofErr w:type="spellEnd"/>
      <w:r w:rsidRPr="002134CC">
        <w:t xml:space="preserve"> team worked with the Students</w:t>
      </w:r>
      <w:r w:rsidR="00E75831">
        <w:t>’ Union on another ‘B</w:t>
      </w:r>
      <w:r w:rsidRPr="002134CC">
        <w:t>lackout</w:t>
      </w:r>
      <w:r w:rsidR="00E75831">
        <w:t>’</w:t>
      </w:r>
      <w:r w:rsidRPr="002134CC">
        <w:t xml:space="preserve"> campus-wide energy audit event involving over 30 student volunteers.  Over 25 students have regularly taken part in the Student Eats food-growing initiative, which has led to the development of the student-led Veg Box scheme.  Two students from </w:t>
      </w:r>
      <w:proofErr w:type="spellStart"/>
      <w:r w:rsidRPr="002134CC">
        <w:t>Keele</w:t>
      </w:r>
      <w:proofErr w:type="spellEnd"/>
      <w:r w:rsidRPr="002134CC">
        <w:t xml:space="preserve"> have been invited (as the only UK representatives) to the World Student Environmental Network, and as a result of this </w:t>
      </w:r>
      <w:proofErr w:type="spellStart"/>
      <w:r w:rsidR="00E75831">
        <w:t>Keele</w:t>
      </w:r>
      <w:proofErr w:type="spellEnd"/>
      <w:r w:rsidR="00E75831">
        <w:t xml:space="preserve"> has </w:t>
      </w:r>
      <w:r w:rsidRPr="002134CC">
        <w:t xml:space="preserve">been awarded the 2016 annual conference, which will be held jointly between </w:t>
      </w:r>
      <w:proofErr w:type="spellStart"/>
      <w:r w:rsidRPr="002134CC">
        <w:t>Keele</w:t>
      </w:r>
      <w:proofErr w:type="spellEnd"/>
      <w:r w:rsidRPr="002134CC">
        <w:t xml:space="preserve"> University and Sussex University.</w:t>
      </w:r>
      <w:r w:rsidR="008D493E" w:rsidRPr="002134CC">
        <w:t xml:space="preserve">  Two students have also been invited by the prestigious </w:t>
      </w:r>
      <w:proofErr w:type="spellStart"/>
      <w:r w:rsidR="008D493E" w:rsidRPr="002134CC">
        <w:t>Tongji</w:t>
      </w:r>
      <w:proofErr w:type="spellEnd"/>
      <w:r w:rsidR="008D493E" w:rsidRPr="002134CC">
        <w:t xml:space="preserve"> University, China to attend a sustainability summer school in China in 2015.  </w:t>
      </w:r>
    </w:p>
    <w:p w:rsidR="008D493E" w:rsidRPr="002134CC" w:rsidRDefault="008D493E" w:rsidP="004E3DDF">
      <w:pPr>
        <w:rPr>
          <w:u w:val="single"/>
        </w:rPr>
      </w:pPr>
      <w:r w:rsidRPr="002134CC">
        <w:t xml:space="preserve">Over 50 </w:t>
      </w:r>
      <w:r w:rsidR="00E75831">
        <w:t>s</w:t>
      </w:r>
      <w:r w:rsidRPr="002134CC">
        <w:t xml:space="preserve">tudents have received training in aspects of sustainability as part of professional projects or activities, including training as part of the sabbatical officer handover, Halls reps, Green Impact Project Assistants and Auditors, and Responsible Futures student auditors.  In addition, the Students’ Union piloted a university-wide ‘Green </w:t>
      </w:r>
      <w:proofErr w:type="spellStart"/>
      <w:r w:rsidRPr="002134CC">
        <w:t>StARs’</w:t>
      </w:r>
      <w:proofErr w:type="spellEnd"/>
      <w:r w:rsidRPr="002134CC">
        <w:t xml:space="preserve"> project, </w:t>
      </w:r>
      <w:r w:rsidR="00E75831">
        <w:t xml:space="preserve">and the </w:t>
      </w:r>
      <w:proofErr w:type="spellStart"/>
      <w:r w:rsidR="00E75831">
        <w:t>EfS</w:t>
      </w:r>
      <w:proofErr w:type="spellEnd"/>
      <w:r w:rsidR="00E75831">
        <w:t xml:space="preserve"> team provided</w:t>
      </w:r>
      <w:r w:rsidRPr="002134CC">
        <w:t xml:space="preserve"> training in sustainability for Student Academic Representatives interested in including sustainability issues in their role.  </w:t>
      </w:r>
    </w:p>
    <w:p w:rsidR="000107CF" w:rsidRPr="002134CC" w:rsidRDefault="000107CF" w:rsidP="00841824">
      <w:pPr>
        <w:pStyle w:val="ListParagraph"/>
        <w:numPr>
          <w:ilvl w:val="1"/>
          <w:numId w:val="1"/>
        </w:numPr>
        <w:ind w:left="426" w:hanging="426"/>
        <w:rPr>
          <w:i/>
        </w:rPr>
      </w:pPr>
      <w:r w:rsidRPr="002134CC">
        <w:rPr>
          <w:i/>
        </w:rPr>
        <w:t>Communications</w:t>
      </w:r>
    </w:p>
    <w:p w:rsidR="001035F7" w:rsidRPr="002134CC" w:rsidRDefault="00CD5DEF" w:rsidP="0037342B">
      <w:r w:rsidRPr="002134CC">
        <w:t xml:space="preserve">A significant role of the </w:t>
      </w:r>
      <w:proofErr w:type="spellStart"/>
      <w:r w:rsidRPr="002134CC">
        <w:t>EfS</w:t>
      </w:r>
      <w:proofErr w:type="spellEnd"/>
      <w:r w:rsidRPr="002134CC">
        <w:t xml:space="preserve"> team includes communication internally and externally of sustainability developments at </w:t>
      </w:r>
      <w:proofErr w:type="spellStart"/>
      <w:r w:rsidRPr="002134CC">
        <w:t>Keele</w:t>
      </w:r>
      <w:proofErr w:type="spellEnd"/>
      <w:r w:rsidRPr="002134CC">
        <w:t xml:space="preserve"> through a range of media.  </w:t>
      </w:r>
      <w:r w:rsidR="00FF0B9A" w:rsidRPr="002134CC">
        <w:t>The ‘</w:t>
      </w:r>
      <w:proofErr w:type="spellStart"/>
      <w:r w:rsidR="00FF0B9A" w:rsidRPr="002134CC">
        <w:t>Green:Keele</w:t>
      </w:r>
      <w:proofErr w:type="spellEnd"/>
      <w:r w:rsidRPr="002134CC">
        <w:t>’ T</w:t>
      </w:r>
      <w:r w:rsidR="00FF0B9A" w:rsidRPr="002134CC">
        <w:t xml:space="preserve">witter account has the greatest number of followers, with ~630 followers, of any of </w:t>
      </w:r>
      <w:proofErr w:type="spellStart"/>
      <w:r w:rsidR="00FF0B9A" w:rsidRPr="002134CC">
        <w:t>Keele’s</w:t>
      </w:r>
      <w:proofErr w:type="spellEnd"/>
      <w:r w:rsidR="00FF0B9A" w:rsidRPr="002134CC">
        <w:t xml:space="preserve"> Twitter accounts, outside of some individual staff members.  There is also a </w:t>
      </w:r>
      <w:r w:rsidR="00E75831">
        <w:t xml:space="preserve">regularly updated </w:t>
      </w:r>
      <w:proofErr w:type="spellStart"/>
      <w:r w:rsidR="00E75831">
        <w:t>Green</w:t>
      </w:r>
      <w:proofErr w:type="gramStart"/>
      <w:r w:rsidR="00E75831">
        <w:t>:</w:t>
      </w:r>
      <w:r w:rsidRPr="002134CC">
        <w:t>Keele</w:t>
      </w:r>
      <w:proofErr w:type="spellEnd"/>
      <w:proofErr w:type="gramEnd"/>
      <w:r w:rsidRPr="002134CC">
        <w:t xml:space="preserve"> Facebook page and </w:t>
      </w:r>
      <w:proofErr w:type="spellStart"/>
      <w:r w:rsidRPr="002134CC">
        <w:t>Green:Keele</w:t>
      </w:r>
      <w:proofErr w:type="spellEnd"/>
      <w:r w:rsidRPr="002134CC">
        <w:t xml:space="preserve"> webpages (including specific ‘learning’ pages).  </w:t>
      </w:r>
      <w:r w:rsidR="00D43B7A" w:rsidRPr="002134CC">
        <w:t xml:space="preserve">A </w:t>
      </w:r>
      <w:proofErr w:type="spellStart"/>
      <w:r w:rsidR="00D43B7A" w:rsidRPr="002134CC">
        <w:t>Green</w:t>
      </w:r>
      <w:proofErr w:type="gramStart"/>
      <w:r w:rsidR="00D43B7A" w:rsidRPr="002134CC">
        <w:t>:Keele</w:t>
      </w:r>
      <w:proofErr w:type="spellEnd"/>
      <w:proofErr w:type="gramEnd"/>
      <w:r w:rsidR="00D43B7A" w:rsidRPr="002134CC">
        <w:t xml:space="preserve"> newsletter is circulated to all staff</w:t>
      </w:r>
      <w:r w:rsidR="004B16D3" w:rsidRPr="002134CC">
        <w:t>, students and campus residents</w:t>
      </w:r>
      <w:r w:rsidRPr="002134CC">
        <w:t xml:space="preserve"> </w:t>
      </w:r>
      <w:r w:rsidR="00D43B7A" w:rsidRPr="002134CC">
        <w:t>three times a year summarising sustainability activity, including curriculum and co-curriculum developments.</w:t>
      </w:r>
      <w:r w:rsidRPr="002134CC">
        <w:t xml:space="preserve">  Videos of various sustainability initiatives, particularly those which are student led, have been made to further market the different activities at </w:t>
      </w:r>
      <w:proofErr w:type="spellStart"/>
      <w:r w:rsidRPr="002134CC">
        <w:t>Keele</w:t>
      </w:r>
      <w:proofErr w:type="spellEnd"/>
      <w:r w:rsidRPr="002134CC">
        <w:t xml:space="preserve">.  </w:t>
      </w:r>
    </w:p>
    <w:p w:rsidR="001D5DD6" w:rsidRPr="002134CC" w:rsidRDefault="001D5DD6" w:rsidP="00841824">
      <w:pPr>
        <w:pStyle w:val="ListParagraph"/>
        <w:numPr>
          <w:ilvl w:val="1"/>
          <w:numId w:val="1"/>
        </w:numPr>
        <w:ind w:left="426" w:hanging="426"/>
        <w:rPr>
          <w:i/>
        </w:rPr>
      </w:pPr>
      <w:r w:rsidRPr="002134CC">
        <w:rPr>
          <w:i/>
        </w:rPr>
        <w:t>Staff training</w:t>
      </w:r>
    </w:p>
    <w:p w:rsidR="00DC01F4" w:rsidRPr="002134CC" w:rsidRDefault="0037342B" w:rsidP="0037342B">
      <w:pPr>
        <w:pStyle w:val="ListParagraph"/>
        <w:ind w:left="0"/>
        <w:rPr>
          <w:rFonts w:eastAsia="Times New Roman" w:cs="Arial"/>
        </w:rPr>
      </w:pPr>
      <w:r w:rsidRPr="002134CC">
        <w:t xml:space="preserve">Staff training in various forms is an important part of the work of the </w:t>
      </w:r>
      <w:proofErr w:type="spellStart"/>
      <w:r w:rsidRPr="002134CC">
        <w:t>EfS</w:t>
      </w:r>
      <w:proofErr w:type="spellEnd"/>
      <w:r w:rsidRPr="002134CC">
        <w:t xml:space="preserve"> team.  Two separate LPDC workshops on sustainability are run </w:t>
      </w:r>
      <w:r w:rsidR="00AE2561" w:rsidRPr="002134CC">
        <w:t xml:space="preserve">1) Introduction to Green: </w:t>
      </w:r>
      <w:proofErr w:type="spellStart"/>
      <w:r w:rsidR="00AE2561" w:rsidRPr="002134CC">
        <w:t>Keele</w:t>
      </w:r>
      <w:proofErr w:type="spellEnd"/>
      <w:r w:rsidR="00AE2561" w:rsidRPr="002134CC">
        <w:t xml:space="preserve"> and 2) Introduction to Education for </w:t>
      </w:r>
      <w:r w:rsidR="00AE2561" w:rsidRPr="002134CC">
        <w:lastRenderedPageBreak/>
        <w:t>Sustainability.  Four members of staff attended each of these workshops in 2014/15</w:t>
      </w:r>
      <w:r w:rsidR="009A7066" w:rsidRPr="002134CC">
        <w:t>. A two hour session on Education for Sustainability is embedded in the TLHEP programme, the session was attended by 18 students in 2014/15.</w:t>
      </w:r>
      <w:r w:rsidRPr="002134CC">
        <w:t xml:space="preserve"> </w:t>
      </w:r>
      <w:r w:rsidR="00DC01F4" w:rsidRPr="002134CC">
        <w:rPr>
          <w:i/>
        </w:rPr>
        <w:t xml:space="preserve"> </w:t>
      </w:r>
      <w:r w:rsidR="00DC01F4" w:rsidRPr="002134CC">
        <w:t>Two new online learning modules</w:t>
      </w:r>
      <w:r w:rsidR="00DC01F4" w:rsidRPr="002134CC">
        <w:t xml:space="preserve"> </w:t>
      </w:r>
      <w:r w:rsidR="00456D72" w:rsidRPr="002134CC">
        <w:t xml:space="preserve">of about 30 minutes duration </w:t>
      </w:r>
      <w:r w:rsidR="00DC01F4" w:rsidRPr="002134CC">
        <w:t>have been completed using the Staff Online learning package Learning Pool</w:t>
      </w:r>
      <w:r w:rsidR="00DC01F4" w:rsidRPr="002134CC">
        <w:t xml:space="preserve">.  These </w:t>
      </w:r>
      <w:r w:rsidR="00DC01F4" w:rsidRPr="002134CC">
        <w:t xml:space="preserve">modules are 1) </w:t>
      </w:r>
      <w:r w:rsidR="00DC01F4" w:rsidRPr="002134CC">
        <w:t>‘Introduction to Environmental Sustainability’</w:t>
      </w:r>
      <w:r w:rsidR="00456D72" w:rsidRPr="002134CC">
        <w:t>, an</w:t>
      </w:r>
      <w:r w:rsidR="00DC01F4" w:rsidRPr="002134CC">
        <w:t xml:space="preserve"> introduction to sustainability issues,</w:t>
      </w:r>
      <w:r w:rsidR="00DC01F4" w:rsidRPr="002134CC">
        <w:t xml:space="preserve"> </w:t>
      </w:r>
      <w:r w:rsidR="00DC01F4" w:rsidRPr="002134CC">
        <w:t>developed by two student project assistants working with the Human Resources Green Impact team, and 2) ‘</w:t>
      </w:r>
      <w:hyperlink r:id="rId7" w:history="1">
        <w:r w:rsidR="00DC01F4" w:rsidRPr="002134CC">
          <w:rPr>
            <w:rFonts w:eastAsia="Times New Roman" w:cs="Arial"/>
            <w:bCs/>
            <w:bdr w:val="none" w:sz="0" w:space="0" w:color="auto" w:frame="1"/>
          </w:rPr>
          <w:t>Embedding Sustainability in Your Teaching: an Introduction to Higher Education for Sustainable Development</w:t>
        </w:r>
      </w:hyperlink>
      <w:r w:rsidR="00DC01F4" w:rsidRPr="002134CC">
        <w:rPr>
          <w:rFonts w:eastAsia="Times New Roman" w:cs="Arial"/>
        </w:rPr>
        <w:t>’</w:t>
      </w:r>
      <w:r w:rsidR="00DB5B6A" w:rsidRPr="002134CC">
        <w:rPr>
          <w:rFonts w:eastAsia="Times New Roman" w:cs="Arial"/>
        </w:rPr>
        <w:t>.  Both courses have been undertaken by 10 members of staff.</w:t>
      </w:r>
      <w:r w:rsidRPr="002134CC">
        <w:rPr>
          <w:rFonts w:eastAsia="Times New Roman" w:cs="Arial"/>
        </w:rPr>
        <w:t xml:space="preserve">  In addition, individual consultations with members of staff (for example in 2014/15 Music and Medicine) take place to discuss the opportunities for embedding sustainability, in addition to invitations to specific meetings to talk to groups of staff.</w:t>
      </w:r>
    </w:p>
    <w:p w:rsidR="00DC01F4" w:rsidRPr="002134CC" w:rsidRDefault="00DC01F4" w:rsidP="00DC01F4">
      <w:pPr>
        <w:pStyle w:val="ListParagraph"/>
        <w:ind w:left="426"/>
        <w:rPr>
          <w:i/>
        </w:rPr>
      </w:pPr>
    </w:p>
    <w:p w:rsidR="00443E99" w:rsidRPr="002134CC" w:rsidRDefault="00443E99" w:rsidP="00841824">
      <w:pPr>
        <w:pStyle w:val="ListParagraph"/>
        <w:numPr>
          <w:ilvl w:val="1"/>
          <w:numId w:val="1"/>
        </w:numPr>
        <w:ind w:left="426" w:hanging="426"/>
        <w:rPr>
          <w:i/>
        </w:rPr>
      </w:pPr>
      <w:r w:rsidRPr="002134CC">
        <w:rPr>
          <w:i/>
        </w:rPr>
        <w:t>Summary of engagement</w:t>
      </w:r>
    </w:p>
    <w:p w:rsidR="00443E99" w:rsidRPr="002134CC" w:rsidRDefault="00443E99" w:rsidP="00443E99">
      <w:r w:rsidRPr="002134CC">
        <w:t xml:space="preserve">A summary of engagement with different sustainability activities over 2014/15 is included </w:t>
      </w:r>
      <w:r w:rsidR="00E75831">
        <w:t>in Appendix 4 and in Table 3</w:t>
      </w:r>
      <w:r w:rsidRPr="002134CC">
        <w:t xml:space="preserve"> below.  In </w:t>
      </w:r>
      <w:r w:rsidR="00E75831">
        <w:t xml:space="preserve">total a conservative estimate of people engaged is 650, </w:t>
      </w:r>
      <w:r w:rsidRPr="002134CC">
        <w:t>with over 1580 hours of engagement, not including confere</w:t>
      </w:r>
      <w:r w:rsidR="00E75831">
        <w:t xml:space="preserve">nces, social media following, </w:t>
      </w:r>
      <w:r w:rsidRPr="002134CC">
        <w:t>research-related engagement</w:t>
      </w:r>
      <w:r w:rsidR="00E75831">
        <w:t>, or meetings/committees</w:t>
      </w:r>
      <w:r w:rsidRPr="002134CC">
        <w:t>.</w:t>
      </w:r>
    </w:p>
    <w:p w:rsidR="00DC01F4" w:rsidRPr="00E75831" w:rsidRDefault="00E75831" w:rsidP="00E75831">
      <w:pPr>
        <w:jc w:val="center"/>
        <w:rPr>
          <w:sz w:val="20"/>
        </w:rPr>
      </w:pPr>
      <w:proofErr w:type="gramStart"/>
      <w:r w:rsidRPr="00E75831">
        <w:rPr>
          <w:b/>
          <w:sz w:val="20"/>
        </w:rPr>
        <w:t>Table 3.</w:t>
      </w:r>
      <w:proofErr w:type="gramEnd"/>
      <w:r w:rsidRPr="00E75831">
        <w:rPr>
          <w:sz w:val="20"/>
        </w:rPr>
        <w:t xml:space="preserve">  Summary of numbers of people directly engaged with sustainability related activities</w:t>
      </w:r>
    </w:p>
    <w:tbl>
      <w:tblPr>
        <w:tblW w:w="6900" w:type="dxa"/>
        <w:tblInd w:w="93" w:type="dxa"/>
        <w:tblLook w:val="04A0" w:firstRow="1" w:lastRow="0" w:firstColumn="1" w:lastColumn="0" w:noHBand="0" w:noVBand="1"/>
      </w:tblPr>
      <w:tblGrid>
        <w:gridCol w:w="2320"/>
        <w:gridCol w:w="2140"/>
        <w:gridCol w:w="2440"/>
      </w:tblGrid>
      <w:tr w:rsidR="00DC01F4" w:rsidRPr="00DC01F4" w:rsidTr="00DC01F4">
        <w:trPr>
          <w:trHeight w:val="525"/>
        </w:trPr>
        <w:tc>
          <w:tcPr>
            <w:tcW w:w="2320" w:type="dxa"/>
            <w:tcBorders>
              <w:top w:val="single" w:sz="8" w:space="0" w:color="auto"/>
              <w:left w:val="single" w:sz="8" w:space="0" w:color="auto"/>
              <w:bottom w:val="single" w:sz="8" w:space="0" w:color="auto"/>
              <w:right w:val="nil"/>
            </w:tcBorders>
            <w:shd w:val="clear" w:color="auto" w:fill="auto"/>
            <w:vAlign w:val="bottom"/>
            <w:hideMark/>
          </w:tcPr>
          <w:p w:rsidR="00DC01F4" w:rsidRPr="00DC01F4" w:rsidRDefault="00DC01F4" w:rsidP="00DC01F4">
            <w:pPr>
              <w:spacing w:after="0" w:line="240" w:lineRule="auto"/>
              <w:jc w:val="center"/>
              <w:rPr>
                <w:rFonts w:eastAsia="Times New Roman" w:cs="Arial"/>
                <w:b/>
                <w:bCs/>
                <w:color w:val="000000"/>
              </w:rPr>
            </w:pPr>
            <w:r w:rsidRPr="00DC01F4">
              <w:rPr>
                <w:rFonts w:eastAsia="Times New Roman" w:cs="Arial"/>
                <w:b/>
                <w:bCs/>
                <w:color w:val="000000"/>
              </w:rPr>
              <w:t>Type of Event</w:t>
            </w:r>
          </w:p>
        </w:tc>
        <w:tc>
          <w:tcPr>
            <w:tcW w:w="214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jc w:val="center"/>
              <w:rPr>
                <w:rFonts w:eastAsia="Times New Roman" w:cs="Arial"/>
                <w:b/>
                <w:bCs/>
                <w:color w:val="000000"/>
              </w:rPr>
            </w:pPr>
            <w:r w:rsidRPr="00DC01F4">
              <w:rPr>
                <w:rFonts w:eastAsia="Times New Roman" w:cs="Arial"/>
                <w:b/>
                <w:bCs/>
                <w:color w:val="000000"/>
              </w:rPr>
              <w:t>Number Engaged</w:t>
            </w:r>
          </w:p>
        </w:tc>
        <w:tc>
          <w:tcPr>
            <w:tcW w:w="2440" w:type="dxa"/>
            <w:tcBorders>
              <w:top w:val="single" w:sz="8" w:space="0" w:color="auto"/>
              <w:left w:val="nil"/>
              <w:bottom w:val="single" w:sz="8" w:space="0" w:color="auto"/>
              <w:right w:val="single" w:sz="8" w:space="0" w:color="auto"/>
            </w:tcBorders>
            <w:shd w:val="clear" w:color="auto" w:fill="auto"/>
            <w:vAlign w:val="bottom"/>
            <w:hideMark/>
          </w:tcPr>
          <w:p w:rsidR="00DC01F4" w:rsidRPr="00DC01F4" w:rsidRDefault="00DC01F4" w:rsidP="00DC01F4">
            <w:pPr>
              <w:spacing w:after="0" w:line="240" w:lineRule="auto"/>
              <w:jc w:val="center"/>
              <w:rPr>
                <w:rFonts w:eastAsia="Times New Roman" w:cs="Arial"/>
                <w:b/>
                <w:bCs/>
                <w:color w:val="000000"/>
              </w:rPr>
            </w:pPr>
            <w:r w:rsidRPr="00DC01F4">
              <w:rPr>
                <w:rFonts w:eastAsia="Times New Roman" w:cs="Arial"/>
                <w:b/>
                <w:bCs/>
                <w:color w:val="000000"/>
              </w:rPr>
              <w:t>Hours of Engagement</w:t>
            </w:r>
          </w:p>
        </w:tc>
      </w:tr>
      <w:tr w:rsidR="00DC01F4" w:rsidRPr="00DC01F4" w:rsidTr="00DC01F4">
        <w:trPr>
          <w:trHeight w:val="585"/>
        </w:trPr>
        <w:tc>
          <w:tcPr>
            <w:tcW w:w="2320"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Student Training</w:t>
            </w:r>
          </w:p>
        </w:tc>
        <w:tc>
          <w:tcPr>
            <w:tcW w:w="2140"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55</w:t>
            </w:r>
          </w:p>
        </w:tc>
        <w:tc>
          <w:tcPr>
            <w:tcW w:w="2440" w:type="dxa"/>
            <w:tcBorders>
              <w:top w:val="nil"/>
              <w:left w:val="nil"/>
              <w:bottom w:val="single" w:sz="4"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160</w:t>
            </w:r>
          </w:p>
        </w:tc>
      </w:tr>
      <w:tr w:rsidR="00DC01F4" w:rsidRPr="00DC01F4" w:rsidTr="00DC01F4">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Curriculum Delivery</w:t>
            </w:r>
          </w:p>
        </w:tc>
        <w:tc>
          <w:tcPr>
            <w:tcW w:w="2140"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203</w:t>
            </w:r>
          </w:p>
        </w:tc>
        <w:tc>
          <w:tcPr>
            <w:tcW w:w="2440" w:type="dxa"/>
            <w:tcBorders>
              <w:top w:val="nil"/>
              <w:left w:val="nil"/>
              <w:bottom w:val="single" w:sz="4" w:space="0" w:color="auto"/>
              <w:right w:val="single" w:sz="8" w:space="0" w:color="auto"/>
            </w:tcBorders>
            <w:shd w:val="clear" w:color="auto" w:fill="auto"/>
            <w:noWrap/>
            <w:vAlign w:val="bottom"/>
            <w:hideMark/>
          </w:tcPr>
          <w:p w:rsidR="00DC01F4" w:rsidRPr="00DC01F4" w:rsidRDefault="00E75831" w:rsidP="00DC01F4">
            <w:pPr>
              <w:spacing w:after="0" w:line="240" w:lineRule="auto"/>
              <w:jc w:val="right"/>
              <w:rPr>
                <w:rFonts w:eastAsia="Times New Roman" w:cs="Arial"/>
                <w:color w:val="000000"/>
              </w:rPr>
            </w:pPr>
            <w:r>
              <w:rPr>
                <w:rFonts w:eastAsia="Times New Roman" w:cs="Arial"/>
                <w:color w:val="000000"/>
              </w:rPr>
              <w:t>392</w:t>
            </w:r>
          </w:p>
        </w:tc>
      </w:tr>
      <w:tr w:rsidR="00DC01F4" w:rsidRPr="00DC01F4" w:rsidTr="00DC01F4">
        <w:trPr>
          <w:trHeight w:val="510"/>
        </w:trPr>
        <w:tc>
          <w:tcPr>
            <w:tcW w:w="2320"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Student Engagement and Awareness</w:t>
            </w:r>
          </w:p>
        </w:tc>
        <w:tc>
          <w:tcPr>
            <w:tcW w:w="2140"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114</w:t>
            </w:r>
          </w:p>
        </w:tc>
        <w:tc>
          <w:tcPr>
            <w:tcW w:w="2440" w:type="dxa"/>
            <w:tcBorders>
              <w:top w:val="nil"/>
              <w:left w:val="nil"/>
              <w:bottom w:val="single" w:sz="4"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326</w:t>
            </w:r>
          </w:p>
        </w:tc>
      </w:tr>
      <w:tr w:rsidR="00DC01F4" w:rsidRPr="00DC01F4" w:rsidTr="00DC01F4">
        <w:trPr>
          <w:trHeight w:val="630"/>
        </w:trPr>
        <w:tc>
          <w:tcPr>
            <w:tcW w:w="2320"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Student Project Support</w:t>
            </w:r>
          </w:p>
        </w:tc>
        <w:tc>
          <w:tcPr>
            <w:tcW w:w="2140"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31</w:t>
            </w:r>
          </w:p>
        </w:tc>
        <w:tc>
          <w:tcPr>
            <w:tcW w:w="2440"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200</w:t>
            </w:r>
          </w:p>
        </w:tc>
      </w:tr>
      <w:tr w:rsidR="00DC01F4" w:rsidRPr="00DC01F4" w:rsidTr="00DC01F4">
        <w:trPr>
          <w:trHeight w:val="255"/>
        </w:trPr>
        <w:tc>
          <w:tcPr>
            <w:tcW w:w="2320" w:type="dxa"/>
            <w:tcBorders>
              <w:top w:val="nil"/>
              <w:left w:val="single" w:sz="8" w:space="0" w:color="auto"/>
              <w:bottom w:val="single" w:sz="4"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Staff Training</w:t>
            </w:r>
          </w:p>
        </w:tc>
        <w:tc>
          <w:tcPr>
            <w:tcW w:w="2140" w:type="dxa"/>
            <w:tcBorders>
              <w:top w:val="nil"/>
              <w:left w:val="nil"/>
              <w:bottom w:val="single" w:sz="4"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46</w:t>
            </w:r>
          </w:p>
        </w:tc>
        <w:tc>
          <w:tcPr>
            <w:tcW w:w="2440" w:type="dxa"/>
            <w:tcBorders>
              <w:top w:val="nil"/>
              <w:left w:val="nil"/>
              <w:bottom w:val="single" w:sz="4"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78</w:t>
            </w:r>
          </w:p>
        </w:tc>
      </w:tr>
      <w:tr w:rsidR="00DC01F4" w:rsidRPr="00DC01F4" w:rsidTr="00DC01F4">
        <w:trPr>
          <w:trHeight w:val="525"/>
        </w:trPr>
        <w:tc>
          <w:tcPr>
            <w:tcW w:w="2320"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Staff Engag</w:t>
            </w:r>
            <w:r w:rsidRPr="002134CC">
              <w:rPr>
                <w:rFonts w:eastAsia="Times New Roman" w:cs="Arial"/>
                <w:b/>
                <w:bCs/>
                <w:color w:val="000000"/>
              </w:rPr>
              <w:t>e</w:t>
            </w:r>
            <w:r w:rsidRPr="00DC01F4">
              <w:rPr>
                <w:rFonts w:eastAsia="Times New Roman" w:cs="Arial"/>
                <w:b/>
                <w:bCs/>
                <w:color w:val="000000"/>
              </w:rPr>
              <w:t>ment</w:t>
            </w:r>
          </w:p>
        </w:tc>
        <w:tc>
          <w:tcPr>
            <w:tcW w:w="2140"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192</w:t>
            </w:r>
          </w:p>
        </w:tc>
        <w:tc>
          <w:tcPr>
            <w:tcW w:w="2440"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397</w:t>
            </w:r>
          </w:p>
        </w:tc>
      </w:tr>
      <w:tr w:rsidR="00DC01F4" w:rsidRPr="00DC01F4" w:rsidTr="00DC01F4">
        <w:trPr>
          <w:trHeight w:val="270"/>
        </w:trPr>
        <w:tc>
          <w:tcPr>
            <w:tcW w:w="2320"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External Projects</w:t>
            </w:r>
          </w:p>
        </w:tc>
        <w:tc>
          <w:tcPr>
            <w:tcW w:w="2140"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7</w:t>
            </w:r>
          </w:p>
        </w:tc>
        <w:tc>
          <w:tcPr>
            <w:tcW w:w="2440"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33</w:t>
            </w:r>
          </w:p>
        </w:tc>
      </w:tr>
      <w:tr w:rsidR="00DC01F4" w:rsidRPr="00DC01F4" w:rsidTr="00DC01F4">
        <w:trPr>
          <w:trHeight w:val="300"/>
        </w:trPr>
        <w:tc>
          <w:tcPr>
            <w:tcW w:w="2320"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Total</w:t>
            </w:r>
          </w:p>
        </w:tc>
        <w:tc>
          <w:tcPr>
            <w:tcW w:w="2140" w:type="dxa"/>
            <w:tcBorders>
              <w:top w:val="nil"/>
              <w:left w:val="nil"/>
              <w:bottom w:val="single" w:sz="8" w:space="0" w:color="auto"/>
              <w:right w:val="single" w:sz="4"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b/>
                <w:color w:val="000000"/>
              </w:rPr>
            </w:pPr>
            <w:r w:rsidRPr="00DC01F4">
              <w:rPr>
                <w:rFonts w:eastAsia="Times New Roman" w:cs="Arial"/>
                <w:b/>
                <w:color w:val="000000"/>
              </w:rPr>
              <w:t>648</w:t>
            </w:r>
          </w:p>
        </w:tc>
        <w:tc>
          <w:tcPr>
            <w:tcW w:w="2440" w:type="dxa"/>
            <w:tcBorders>
              <w:top w:val="nil"/>
              <w:left w:val="nil"/>
              <w:bottom w:val="single" w:sz="8" w:space="0" w:color="auto"/>
              <w:right w:val="single" w:sz="8" w:space="0" w:color="auto"/>
            </w:tcBorders>
            <w:shd w:val="clear" w:color="auto" w:fill="auto"/>
            <w:noWrap/>
            <w:vAlign w:val="bottom"/>
            <w:hideMark/>
          </w:tcPr>
          <w:p w:rsidR="00DC01F4" w:rsidRPr="00DC01F4" w:rsidRDefault="00E75831" w:rsidP="00DC01F4">
            <w:pPr>
              <w:spacing w:after="0" w:line="240" w:lineRule="auto"/>
              <w:jc w:val="right"/>
              <w:rPr>
                <w:rFonts w:eastAsia="Times New Roman" w:cs="Arial"/>
                <w:b/>
                <w:color w:val="000000"/>
              </w:rPr>
            </w:pPr>
            <w:r>
              <w:rPr>
                <w:rFonts w:eastAsia="Times New Roman" w:cs="Arial"/>
                <w:b/>
                <w:color w:val="000000"/>
              </w:rPr>
              <w:t>1586</w:t>
            </w:r>
          </w:p>
        </w:tc>
      </w:tr>
      <w:tr w:rsidR="00DC01F4" w:rsidRPr="00DC01F4" w:rsidTr="00DC01F4">
        <w:trPr>
          <w:trHeight w:val="525"/>
        </w:trPr>
        <w:tc>
          <w:tcPr>
            <w:tcW w:w="2320"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c>
          <w:tcPr>
            <w:tcW w:w="2140"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c>
          <w:tcPr>
            <w:tcW w:w="2440"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r w:rsidR="00DC01F4" w:rsidRPr="00DC01F4" w:rsidTr="00DC01F4">
        <w:trPr>
          <w:trHeight w:val="525"/>
        </w:trPr>
        <w:tc>
          <w:tcPr>
            <w:tcW w:w="23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Conferences (2014)</w:t>
            </w:r>
          </w:p>
        </w:tc>
        <w:tc>
          <w:tcPr>
            <w:tcW w:w="2140" w:type="dxa"/>
            <w:tcBorders>
              <w:top w:val="single" w:sz="8" w:space="0" w:color="auto"/>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111</w:t>
            </w:r>
          </w:p>
        </w:tc>
        <w:tc>
          <w:tcPr>
            <w:tcW w:w="2440"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r w:rsidR="00DC01F4" w:rsidRPr="00DC01F4" w:rsidTr="00DC01F4">
        <w:trPr>
          <w:trHeight w:val="270"/>
        </w:trPr>
        <w:tc>
          <w:tcPr>
            <w:tcW w:w="2320"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Research Engagement</w:t>
            </w:r>
            <w:r w:rsidR="00E75831">
              <w:rPr>
                <w:rFonts w:eastAsia="Times New Roman" w:cs="Arial"/>
                <w:b/>
                <w:bCs/>
                <w:color w:val="000000"/>
              </w:rPr>
              <w:t xml:space="preserve"> (KU Sustainability Research Network)</w:t>
            </w:r>
          </w:p>
        </w:tc>
        <w:tc>
          <w:tcPr>
            <w:tcW w:w="2140"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850</w:t>
            </w:r>
          </w:p>
        </w:tc>
        <w:tc>
          <w:tcPr>
            <w:tcW w:w="2440"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r w:rsidR="00DC01F4" w:rsidRPr="00DC01F4" w:rsidTr="00DC01F4">
        <w:trPr>
          <w:trHeight w:val="525"/>
        </w:trPr>
        <w:tc>
          <w:tcPr>
            <w:tcW w:w="2320" w:type="dxa"/>
            <w:tcBorders>
              <w:top w:val="nil"/>
              <w:left w:val="single" w:sz="8" w:space="0" w:color="auto"/>
              <w:bottom w:val="single" w:sz="8" w:space="0" w:color="auto"/>
              <w:right w:val="single" w:sz="4" w:space="0" w:color="auto"/>
            </w:tcBorders>
            <w:shd w:val="clear" w:color="auto" w:fill="auto"/>
            <w:vAlign w:val="bottom"/>
            <w:hideMark/>
          </w:tcPr>
          <w:p w:rsidR="00DC01F4" w:rsidRPr="00DC01F4" w:rsidRDefault="00DC01F4" w:rsidP="00DC01F4">
            <w:pPr>
              <w:spacing w:after="0" w:line="240" w:lineRule="auto"/>
              <w:rPr>
                <w:rFonts w:eastAsia="Times New Roman" w:cs="Arial"/>
                <w:b/>
                <w:bCs/>
                <w:color w:val="000000"/>
              </w:rPr>
            </w:pPr>
            <w:r w:rsidRPr="00DC01F4">
              <w:rPr>
                <w:rFonts w:eastAsia="Times New Roman" w:cs="Arial"/>
                <w:b/>
                <w:bCs/>
                <w:color w:val="000000"/>
              </w:rPr>
              <w:t>Social Media Following</w:t>
            </w:r>
          </w:p>
        </w:tc>
        <w:tc>
          <w:tcPr>
            <w:tcW w:w="2140" w:type="dxa"/>
            <w:tcBorders>
              <w:top w:val="nil"/>
              <w:left w:val="nil"/>
              <w:bottom w:val="single" w:sz="8" w:space="0" w:color="auto"/>
              <w:right w:val="single" w:sz="8" w:space="0" w:color="auto"/>
            </w:tcBorders>
            <w:shd w:val="clear" w:color="auto" w:fill="auto"/>
            <w:noWrap/>
            <w:vAlign w:val="bottom"/>
            <w:hideMark/>
          </w:tcPr>
          <w:p w:rsidR="00DC01F4" w:rsidRPr="00DC01F4" w:rsidRDefault="00DC01F4" w:rsidP="00DC01F4">
            <w:pPr>
              <w:spacing w:after="0" w:line="240" w:lineRule="auto"/>
              <w:jc w:val="right"/>
              <w:rPr>
                <w:rFonts w:eastAsia="Times New Roman" w:cs="Arial"/>
                <w:color w:val="000000"/>
              </w:rPr>
            </w:pPr>
            <w:r w:rsidRPr="00DC01F4">
              <w:rPr>
                <w:rFonts w:eastAsia="Times New Roman" w:cs="Arial"/>
                <w:color w:val="000000"/>
              </w:rPr>
              <w:t>676</w:t>
            </w:r>
          </w:p>
        </w:tc>
        <w:tc>
          <w:tcPr>
            <w:tcW w:w="2440" w:type="dxa"/>
            <w:tcBorders>
              <w:top w:val="nil"/>
              <w:left w:val="nil"/>
              <w:bottom w:val="nil"/>
              <w:right w:val="nil"/>
            </w:tcBorders>
            <w:shd w:val="clear" w:color="auto" w:fill="auto"/>
            <w:noWrap/>
            <w:vAlign w:val="bottom"/>
            <w:hideMark/>
          </w:tcPr>
          <w:p w:rsidR="00DC01F4" w:rsidRPr="00DC01F4" w:rsidRDefault="00DC01F4" w:rsidP="00DC01F4">
            <w:pPr>
              <w:spacing w:after="0" w:line="240" w:lineRule="auto"/>
              <w:rPr>
                <w:rFonts w:eastAsia="Times New Roman" w:cs="Arial"/>
                <w:color w:val="000000"/>
              </w:rPr>
            </w:pPr>
          </w:p>
        </w:tc>
      </w:tr>
    </w:tbl>
    <w:p w:rsidR="00DC01F4" w:rsidRPr="002134CC" w:rsidRDefault="00DC01F4" w:rsidP="00443E99"/>
    <w:p w:rsidR="001E5BA0" w:rsidRPr="002134CC" w:rsidRDefault="000107CF" w:rsidP="00A0075C">
      <w:pPr>
        <w:pStyle w:val="ListParagraph"/>
        <w:numPr>
          <w:ilvl w:val="0"/>
          <w:numId w:val="1"/>
        </w:numPr>
        <w:ind w:left="284" w:hanging="284"/>
        <w:rPr>
          <w:b/>
        </w:rPr>
      </w:pPr>
      <w:r w:rsidRPr="002134CC">
        <w:rPr>
          <w:b/>
        </w:rPr>
        <w:t>Future development</w:t>
      </w:r>
      <w:r w:rsidR="00A0075C" w:rsidRPr="002134CC">
        <w:rPr>
          <w:b/>
        </w:rPr>
        <w:t>s</w:t>
      </w:r>
    </w:p>
    <w:p w:rsidR="00A0075C" w:rsidRPr="002134CC" w:rsidRDefault="00A0075C" w:rsidP="00A0075C">
      <w:r w:rsidRPr="002134CC">
        <w:t xml:space="preserve">The </w:t>
      </w:r>
      <w:proofErr w:type="spellStart"/>
      <w:r w:rsidR="00B217D4">
        <w:t>EfS</w:t>
      </w:r>
      <w:proofErr w:type="spellEnd"/>
      <w:r w:rsidR="00B217D4">
        <w:t xml:space="preserve"> </w:t>
      </w:r>
      <w:r w:rsidRPr="002134CC">
        <w:t>activity in 2014/15 has continued to increase the engagement with sustainability issues by both staff and students</w:t>
      </w:r>
      <w:r w:rsidR="00B217D4">
        <w:t>. However, w</w:t>
      </w:r>
      <w:r w:rsidRPr="002134CC">
        <w:t>ith a target of all students engaging with sustainability issues at some point during their degree by 2012, further developments are needed.  This includes plans for 2015/16 for sustainability to be a key part of the student induction process,</w:t>
      </w:r>
      <w:r w:rsidR="00B217D4">
        <w:t xml:space="preserve"> ranging</w:t>
      </w:r>
      <w:r w:rsidRPr="002134CC">
        <w:t xml:space="preserve"> from the information provided to </w:t>
      </w:r>
      <w:r w:rsidRPr="002134CC">
        <w:lastRenderedPageBreak/>
        <w:t xml:space="preserve">students, to specific events, to integration into the Halls Life project; and for further developments in integrating sustainability issues into the curriculum particularly where there are currently gaps, this will involve further work with the Curriculum Support and Development group and work with School Learning and Teaching Directors.  In addition, sustainability issues will be integrated into the Intercultural Communications module for students Studying Abroad.  </w:t>
      </w:r>
      <w:r w:rsidR="00FD6E06" w:rsidRPr="002134CC">
        <w:t xml:space="preserve">Working with Marketing to improve the communication of sustainability activities on the Estate will also be undertaken, along </w:t>
      </w:r>
      <w:proofErr w:type="gramStart"/>
      <w:r w:rsidR="00FD6E06" w:rsidRPr="002134CC">
        <w:t>with a Sustainability themed issues</w:t>
      </w:r>
      <w:proofErr w:type="gramEnd"/>
      <w:r w:rsidR="00FD6E06" w:rsidRPr="002134CC">
        <w:t xml:space="preserve"> of JADE for 2017.  However, all this activity takes place under a threat to staffing, with one </w:t>
      </w:r>
      <w:r w:rsidR="00B217D4">
        <w:t xml:space="preserve">key </w:t>
      </w:r>
      <w:r w:rsidR="00FD6E06" w:rsidRPr="002134CC">
        <w:t xml:space="preserve">member of the </w:t>
      </w:r>
      <w:proofErr w:type="spellStart"/>
      <w:r w:rsidR="00FD6E06" w:rsidRPr="002134CC">
        <w:t>EfS</w:t>
      </w:r>
      <w:proofErr w:type="spellEnd"/>
      <w:r w:rsidR="00FD6E06" w:rsidRPr="002134CC">
        <w:t xml:space="preserve"> team leaving in September 2015, and </w:t>
      </w:r>
      <w:r w:rsidR="00B217D4">
        <w:t xml:space="preserve">currently </w:t>
      </w:r>
      <w:r w:rsidR="00FD6E06" w:rsidRPr="002134CC">
        <w:t xml:space="preserve">no longer term commitment to </w:t>
      </w:r>
      <w:proofErr w:type="spellStart"/>
      <w:r w:rsidR="00FD6E06" w:rsidRPr="002134CC">
        <w:t>EfS</w:t>
      </w:r>
      <w:proofErr w:type="spellEnd"/>
      <w:r w:rsidR="00FD6E06" w:rsidRPr="002134CC">
        <w:t xml:space="preserve"> staffing currently in place, beyond the contract of the two remaining Sustainability Project Officers</w:t>
      </w:r>
      <w:r w:rsidR="00B217D4">
        <w:t>.</w:t>
      </w:r>
      <w:bookmarkStart w:id="0" w:name="_GoBack"/>
      <w:bookmarkEnd w:id="0"/>
    </w:p>
    <w:p w:rsidR="00A1462E" w:rsidRPr="002134CC" w:rsidRDefault="00A1462E" w:rsidP="00D60D49">
      <w:pPr>
        <w:rPr>
          <w:rFonts w:cs="Arial"/>
          <w:bCs/>
        </w:rPr>
      </w:pPr>
    </w:p>
    <w:p w:rsidR="00CA74F6" w:rsidRPr="002134CC" w:rsidRDefault="00CA74F6">
      <w:pPr>
        <w:rPr>
          <w:i/>
        </w:rPr>
      </w:pPr>
      <w:r w:rsidRPr="002134CC">
        <w:rPr>
          <w:i/>
        </w:rPr>
        <w:t>Dr Zoe Robinson</w:t>
      </w:r>
    </w:p>
    <w:p w:rsidR="00CA74F6" w:rsidRPr="002134CC" w:rsidRDefault="0037342B">
      <w:pPr>
        <w:rPr>
          <w:i/>
        </w:rPr>
      </w:pPr>
      <w:r w:rsidRPr="002134CC">
        <w:rPr>
          <w:i/>
        </w:rPr>
        <w:t>13</w:t>
      </w:r>
      <w:r w:rsidRPr="002134CC">
        <w:rPr>
          <w:i/>
          <w:vertAlign w:val="superscript"/>
        </w:rPr>
        <w:t>th</w:t>
      </w:r>
      <w:r w:rsidRPr="002134CC">
        <w:rPr>
          <w:i/>
        </w:rPr>
        <w:t xml:space="preserve"> July 2015</w:t>
      </w:r>
    </w:p>
    <w:p w:rsidR="002134CC" w:rsidRPr="002134CC" w:rsidRDefault="002134CC">
      <w:pPr>
        <w:rPr>
          <w:i/>
        </w:rPr>
      </w:pPr>
    </w:p>
    <w:sectPr w:rsidR="002134CC" w:rsidRPr="002134CC" w:rsidSect="0081395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73432"/>
    <w:multiLevelType w:val="hybridMultilevel"/>
    <w:tmpl w:val="DB8AEC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4D30C8"/>
    <w:multiLevelType w:val="hybridMultilevel"/>
    <w:tmpl w:val="3898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F51614"/>
    <w:multiLevelType w:val="hybridMultilevel"/>
    <w:tmpl w:val="8A56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303C7E"/>
    <w:multiLevelType w:val="multilevel"/>
    <w:tmpl w:val="F55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61"/>
    <w:rsid w:val="00003105"/>
    <w:rsid w:val="000032AB"/>
    <w:rsid w:val="000047F7"/>
    <w:rsid w:val="0000563C"/>
    <w:rsid w:val="00006145"/>
    <w:rsid w:val="00006275"/>
    <w:rsid w:val="0000647D"/>
    <w:rsid w:val="0000668C"/>
    <w:rsid w:val="000067FD"/>
    <w:rsid w:val="000077BC"/>
    <w:rsid w:val="00010765"/>
    <w:rsid w:val="000107CF"/>
    <w:rsid w:val="00010DDA"/>
    <w:rsid w:val="00010F74"/>
    <w:rsid w:val="0001212E"/>
    <w:rsid w:val="00012952"/>
    <w:rsid w:val="00012BD5"/>
    <w:rsid w:val="00012C6A"/>
    <w:rsid w:val="00015839"/>
    <w:rsid w:val="00015F75"/>
    <w:rsid w:val="00016EEE"/>
    <w:rsid w:val="000201CA"/>
    <w:rsid w:val="0002097E"/>
    <w:rsid w:val="00020CCB"/>
    <w:rsid w:val="000212F6"/>
    <w:rsid w:val="0002372F"/>
    <w:rsid w:val="00023DAA"/>
    <w:rsid w:val="00024119"/>
    <w:rsid w:val="000249D3"/>
    <w:rsid w:val="00024EDB"/>
    <w:rsid w:val="000256F4"/>
    <w:rsid w:val="00026CE9"/>
    <w:rsid w:val="000277AA"/>
    <w:rsid w:val="00027AFE"/>
    <w:rsid w:val="00027DF1"/>
    <w:rsid w:val="00031550"/>
    <w:rsid w:val="000317E9"/>
    <w:rsid w:val="000323F6"/>
    <w:rsid w:val="000334A9"/>
    <w:rsid w:val="000335EE"/>
    <w:rsid w:val="000336AF"/>
    <w:rsid w:val="00035184"/>
    <w:rsid w:val="00036F4F"/>
    <w:rsid w:val="000404C7"/>
    <w:rsid w:val="00040EE1"/>
    <w:rsid w:val="00042430"/>
    <w:rsid w:val="00043804"/>
    <w:rsid w:val="000438EB"/>
    <w:rsid w:val="00043AB7"/>
    <w:rsid w:val="00045412"/>
    <w:rsid w:val="000460CE"/>
    <w:rsid w:val="00046133"/>
    <w:rsid w:val="000500A1"/>
    <w:rsid w:val="00050E22"/>
    <w:rsid w:val="00051229"/>
    <w:rsid w:val="000518D3"/>
    <w:rsid w:val="00051F46"/>
    <w:rsid w:val="000520F8"/>
    <w:rsid w:val="00053131"/>
    <w:rsid w:val="00053F9A"/>
    <w:rsid w:val="00055F67"/>
    <w:rsid w:val="0006041A"/>
    <w:rsid w:val="0006082D"/>
    <w:rsid w:val="000624F4"/>
    <w:rsid w:val="00062CFE"/>
    <w:rsid w:val="0006379F"/>
    <w:rsid w:val="00064267"/>
    <w:rsid w:val="000653DC"/>
    <w:rsid w:val="00065730"/>
    <w:rsid w:val="0006600E"/>
    <w:rsid w:val="00066416"/>
    <w:rsid w:val="0006730A"/>
    <w:rsid w:val="00070677"/>
    <w:rsid w:val="000715C9"/>
    <w:rsid w:val="0007330B"/>
    <w:rsid w:val="00073EC6"/>
    <w:rsid w:val="00074749"/>
    <w:rsid w:val="00074917"/>
    <w:rsid w:val="00075F55"/>
    <w:rsid w:val="00081326"/>
    <w:rsid w:val="00081A8F"/>
    <w:rsid w:val="00081C35"/>
    <w:rsid w:val="000824BE"/>
    <w:rsid w:val="00082C78"/>
    <w:rsid w:val="0008308A"/>
    <w:rsid w:val="000837E0"/>
    <w:rsid w:val="00083B2C"/>
    <w:rsid w:val="0008475B"/>
    <w:rsid w:val="000854EA"/>
    <w:rsid w:val="000865D5"/>
    <w:rsid w:val="00090259"/>
    <w:rsid w:val="00090B39"/>
    <w:rsid w:val="00091BA8"/>
    <w:rsid w:val="000936BA"/>
    <w:rsid w:val="00094A82"/>
    <w:rsid w:val="00094CA7"/>
    <w:rsid w:val="000966C0"/>
    <w:rsid w:val="000968EB"/>
    <w:rsid w:val="00096F19"/>
    <w:rsid w:val="00097BDA"/>
    <w:rsid w:val="000A2B37"/>
    <w:rsid w:val="000A2D05"/>
    <w:rsid w:val="000A2D4E"/>
    <w:rsid w:val="000A7631"/>
    <w:rsid w:val="000A787B"/>
    <w:rsid w:val="000B19DF"/>
    <w:rsid w:val="000B1B2D"/>
    <w:rsid w:val="000B25AB"/>
    <w:rsid w:val="000B2DC7"/>
    <w:rsid w:val="000B360F"/>
    <w:rsid w:val="000B3BFC"/>
    <w:rsid w:val="000B3DC2"/>
    <w:rsid w:val="000B41DF"/>
    <w:rsid w:val="000B5043"/>
    <w:rsid w:val="000B582D"/>
    <w:rsid w:val="000B7457"/>
    <w:rsid w:val="000B7B81"/>
    <w:rsid w:val="000C0027"/>
    <w:rsid w:val="000C0798"/>
    <w:rsid w:val="000C180F"/>
    <w:rsid w:val="000C2E3A"/>
    <w:rsid w:val="000C31C1"/>
    <w:rsid w:val="000C5C56"/>
    <w:rsid w:val="000C6FE4"/>
    <w:rsid w:val="000C76D8"/>
    <w:rsid w:val="000C7896"/>
    <w:rsid w:val="000D197D"/>
    <w:rsid w:val="000D28EC"/>
    <w:rsid w:val="000D4479"/>
    <w:rsid w:val="000E1044"/>
    <w:rsid w:val="000E1D1B"/>
    <w:rsid w:val="000E1D1E"/>
    <w:rsid w:val="000E301C"/>
    <w:rsid w:val="000E4725"/>
    <w:rsid w:val="000E554E"/>
    <w:rsid w:val="000E5925"/>
    <w:rsid w:val="000E699B"/>
    <w:rsid w:val="000E6D46"/>
    <w:rsid w:val="000E70D1"/>
    <w:rsid w:val="000F0769"/>
    <w:rsid w:val="000F122F"/>
    <w:rsid w:val="000F23D5"/>
    <w:rsid w:val="000F301B"/>
    <w:rsid w:val="000F5E9A"/>
    <w:rsid w:val="000F7D8B"/>
    <w:rsid w:val="00102516"/>
    <w:rsid w:val="001033CB"/>
    <w:rsid w:val="001035F7"/>
    <w:rsid w:val="001041E8"/>
    <w:rsid w:val="00104645"/>
    <w:rsid w:val="0010628B"/>
    <w:rsid w:val="00106BBB"/>
    <w:rsid w:val="00110C11"/>
    <w:rsid w:val="00111289"/>
    <w:rsid w:val="00112331"/>
    <w:rsid w:val="00114A55"/>
    <w:rsid w:val="00114ACC"/>
    <w:rsid w:val="00114BEA"/>
    <w:rsid w:val="001165A0"/>
    <w:rsid w:val="00116DCE"/>
    <w:rsid w:val="00117607"/>
    <w:rsid w:val="001206FF"/>
    <w:rsid w:val="00120FFB"/>
    <w:rsid w:val="0012142E"/>
    <w:rsid w:val="00123F70"/>
    <w:rsid w:val="00124846"/>
    <w:rsid w:val="00124EDF"/>
    <w:rsid w:val="00125E32"/>
    <w:rsid w:val="00127F5F"/>
    <w:rsid w:val="00130009"/>
    <w:rsid w:val="001300A3"/>
    <w:rsid w:val="00130194"/>
    <w:rsid w:val="00130264"/>
    <w:rsid w:val="001310B9"/>
    <w:rsid w:val="00135C79"/>
    <w:rsid w:val="001369ED"/>
    <w:rsid w:val="00140306"/>
    <w:rsid w:val="00140D9D"/>
    <w:rsid w:val="00143E4C"/>
    <w:rsid w:val="00143FCF"/>
    <w:rsid w:val="00145759"/>
    <w:rsid w:val="00146C43"/>
    <w:rsid w:val="00147094"/>
    <w:rsid w:val="001470D0"/>
    <w:rsid w:val="00150992"/>
    <w:rsid w:val="00151F9A"/>
    <w:rsid w:val="0015200D"/>
    <w:rsid w:val="00153DAC"/>
    <w:rsid w:val="00154409"/>
    <w:rsid w:val="00154F81"/>
    <w:rsid w:val="00155EA0"/>
    <w:rsid w:val="0015678F"/>
    <w:rsid w:val="00157B10"/>
    <w:rsid w:val="001604B7"/>
    <w:rsid w:val="00160A3C"/>
    <w:rsid w:val="001614FB"/>
    <w:rsid w:val="00161C22"/>
    <w:rsid w:val="00165AC5"/>
    <w:rsid w:val="00167219"/>
    <w:rsid w:val="00167BB3"/>
    <w:rsid w:val="00171D6B"/>
    <w:rsid w:val="00172BCE"/>
    <w:rsid w:val="00173A49"/>
    <w:rsid w:val="00175A64"/>
    <w:rsid w:val="00175D33"/>
    <w:rsid w:val="00175DA9"/>
    <w:rsid w:val="00176ABE"/>
    <w:rsid w:val="00177618"/>
    <w:rsid w:val="00180353"/>
    <w:rsid w:val="001813A2"/>
    <w:rsid w:val="00181439"/>
    <w:rsid w:val="001814AD"/>
    <w:rsid w:val="001818C9"/>
    <w:rsid w:val="00182117"/>
    <w:rsid w:val="00182836"/>
    <w:rsid w:val="00182A33"/>
    <w:rsid w:val="001835A3"/>
    <w:rsid w:val="00184D64"/>
    <w:rsid w:val="001868C4"/>
    <w:rsid w:val="0018735C"/>
    <w:rsid w:val="00187BCD"/>
    <w:rsid w:val="001911E2"/>
    <w:rsid w:val="001926BF"/>
    <w:rsid w:val="00194DA4"/>
    <w:rsid w:val="00194DB0"/>
    <w:rsid w:val="0019539D"/>
    <w:rsid w:val="00195A41"/>
    <w:rsid w:val="00195C3A"/>
    <w:rsid w:val="001A033A"/>
    <w:rsid w:val="001A07AF"/>
    <w:rsid w:val="001A1601"/>
    <w:rsid w:val="001A4561"/>
    <w:rsid w:val="001A5091"/>
    <w:rsid w:val="001A5B21"/>
    <w:rsid w:val="001A5F37"/>
    <w:rsid w:val="001A6763"/>
    <w:rsid w:val="001A67E4"/>
    <w:rsid w:val="001A6C9C"/>
    <w:rsid w:val="001A701B"/>
    <w:rsid w:val="001A748C"/>
    <w:rsid w:val="001B0C45"/>
    <w:rsid w:val="001B1593"/>
    <w:rsid w:val="001B1C84"/>
    <w:rsid w:val="001B28A7"/>
    <w:rsid w:val="001B2A46"/>
    <w:rsid w:val="001B337B"/>
    <w:rsid w:val="001B6EE8"/>
    <w:rsid w:val="001B75BA"/>
    <w:rsid w:val="001B7A4B"/>
    <w:rsid w:val="001C0A02"/>
    <w:rsid w:val="001C2801"/>
    <w:rsid w:val="001C37C4"/>
    <w:rsid w:val="001C611D"/>
    <w:rsid w:val="001C6CDA"/>
    <w:rsid w:val="001C768D"/>
    <w:rsid w:val="001D2266"/>
    <w:rsid w:val="001D3D53"/>
    <w:rsid w:val="001D4D94"/>
    <w:rsid w:val="001D5485"/>
    <w:rsid w:val="001D5DD6"/>
    <w:rsid w:val="001D5DEF"/>
    <w:rsid w:val="001D61B9"/>
    <w:rsid w:val="001D660C"/>
    <w:rsid w:val="001D6E3D"/>
    <w:rsid w:val="001D7CB6"/>
    <w:rsid w:val="001E0559"/>
    <w:rsid w:val="001E07CB"/>
    <w:rsid w:val="001E1102"/>
    <w:rsid w:val="001E1514"/>
    <w:rsid w:val="001E225A"/>
    <w:rsid w:val="001E5BA0"/>
    <w:rsid w:val="001E5E58"/>
    <w:rsid w:val="001E62C5"/>
    <w:rsid w:val="001E6CFE"/>
    <w:rsid w:val="001E7588"/>
    <w:rsid w:val="001F10EE"/>
    <w:rsid w:val="001F155B"/>
    <w:rsid w:val="001F1834"/>
    <w:rsid w:val="001F2889"/>
    <w:rsid w:val="001F2EE2"/>
    <w:rsid w:val="001F366C"/>
    <w:rsid w:val="001F3EEA"/>
    <w:rsid w:val="001F492D"/>
    <w:rsid w:val="001F4A5B"/>
    <w:rsid w:val="001F5A54"/>
    <w:rsid w:val="001F6042"/>
    <w:rsid w:val="001F68B2"/>
    <w:rsid w:val="00202654"/>
    <w:rsid w:val="00202691"/>
    <w:rsid w:val="002042C6"/>
    <w:rsid w:val="00205006"/>
    <w:rsid w:val="00206ED9"/>
    <w:rsid w:val="00206F7D"/>
    <w:rsid w:val="00207F81"/>
    <w:rsid w:val="002102EA"/>
    <w:rsid w:val="00211867"/>
    <w:rsid w:val="00212879"/>
    <w:rsid w:val="00212E31"/>
    <w:rsid w:val="002134CC"/>
    <w:rsid w:val="00220693"/>
    <w:rsid w:val="00220A16"/>
    <w:rsid w:val="002210C6"/>
    <w:rsid w:val="0022234E"/>
    <w:rsid w:val="00224464"/>
    <w:rsid w:val="00224E3F"/>
    <w:rsid w:val="00226193"/>
    <w:rsid w:val="0022631C"/>
    <w:rsid w:val="0022712B"/>
    <w:rsid w:val="002319FD"/>
    <w:rsid w:val="002325F9"/>
    <w:rsid w:val="00233A2B"/>
    <w:rsid w:val="00234DCA"/>
    <w:rsid w:val="002362B3"/>
    <w:rsid w:val="0023689D"/>
    <w:rsid w:val="0024004E"/>
    <w:rsid w:val="002405B5"/>
    <w:rsid w:val="0024080F"/>
    <w:rsid w:val="00240FAE"/>
    <w:rsid w:val="00243584"/>
    <w:rsid w:val="002457C8"/>
    <w:rsid w:val="00246863"/>
    <w:rsid w:val="00246A75"/>
    <w:rsid w:val="00246C08"/>
    <w:rsid w:val="00250527"/>
    <w:rsid w:val="00250F09"/>
    <w:rsid w:val="00252A49"/>
    <w:rsid w:val="00252DCF"/>
    <w:rsid w:val="00257E60"/>
    <w:rsid w:val="0026015D"/>
    <w:rsid w:val="00261C84"/>
    <w:rsid w:val="002630A8"/>
    <w:rsid w:val="002652E1"/>
    <w:rsid w:val="002657AE"/>
    <w:rsid w:val="00265C93"/>
    <w:rsid w:val="002677F5"/>
    <w:rsid w:val="0027018A"/>
    <w:rsid w:val="00271F85"/>
    <w:rsid w:val="00272F8F"/>
    <w:rsid w:val="00274EC1"/>
    <w:rsid w:val="00277004"/>
    <w:rsid w:val="002778D2"/>
    <w:rsid w:val="00277A0B"/>
    <w:rsid w:val="002834DE"/>
    <w:rsid w:val="00284B98"/>
    <w:rsid w:val="00286961"/>
    <w:rsid w:val="00286D1B"/>
    <w:rsid w:val="00286E38"/>
    <w:rsid w:val="00291BB8"/>
    <w:rsid w:val="00292AE6"/>
    <w:rsid w:val="002936B3"/>
    <w:rsid w:val="0029417F"/>
    <w:rsid w:val="002976E3"/>
    <w:rsid w:val="00297939"/>
    <w:rsid w:val="002A2B70"/>
    <w:rsid w:val="002A308C"/>
    <w:rsid w:val="002A42CC"/>
    <w:rsid w:val="002A61BA"/>
    <w:rsid w:val="002B052F"/>
    <w:rsid w:val="002B1726"/>
    <w:rsid w:val="002B4508"/>
    <w:rsid w:val="002B4B67"/>
    <w:rsid w:val="002B4F01"/>
    <w:rsid w:val="002C04A5"/>
    <w:rsid w:val="002C16EA"/>
    <w:rsid w:val="002C280C"/>
    <w:rsid w:val="002C2A3B"/>
    <w:rsid w:val="002C2AA8"/>
    <w:rsid w:val="002C3E4A"/>
    <w:rsid w:val="002C43C4"/>
    <w:rsid w:val="002C562A"/>
    <w:rsid w:val="002C5702"/>
    <w:rsid w:val="002C6344"/>
    <w:rsid w:val="002C7FB5"/>
    <w:rsid w:val="002D0264"/>
    <w:rsid w:val="002D13D2"/>
    <w:rsid w:val="002D2020"/>
    <w:rsid w:val="002D4D7C"/>
    <w:rsid w:val="002D4E09"/>
    <w:rsid w:val="002D6423"/>
    <w:rsid w:val="002E00FE"/>
    <w:rsid w:val="002E10B6"/>
    <w:rsid w:val="002E3001"/>
    <w:rsid w:val="002E31E1"/>
    <w:rsid w:val="002E36CF"/>
    <w:rsid w:val="002E4042"/>
    <w:rsid w:val="002E5BCE"/>
    <w:rsid w:val="002E65AD"/>
    <w:rsid w:val="002E6EAE"/>
    <w:rsid w:val="002E6F20"/>
    <w:rsid w:val="002E7651"/>
    <w:rsid w:val="002F0A24"/>
    <w:rsid w:val="002F163B"/>
    <w:rsid w:val="002F22EC"/>
    <w:rsid w:val="002F2321"/>
    <w:rsid w:val="002F4042"/>
    <w:rsid w:val="002F7926"/>
    <w:rsid w:val="002F798E"/>
    <w:rsid w:val="00301ACB"/>
    <w:rsid w:val="00302A46"/>
    <w:rsid w:val="00302DF5"/>
    <w:rsid w:val="00306A23"/>
    <w:rsid w:val="00306A44"/>
    <w:rsid w:val="00306C87"/>
    <w:rsid w:val="00306E04"/>
    <w:rsid w:val="00307173"/>
    <w:rsid w:val="00307C82"/>
    <w:rsid w:val="00310303"/>
    <w:rsid w:val="003121C6"/>
    <w:rsid w:val="00312306"/>
    <w:rsid w:val="00316309"/>
    <w:rsid w:val="00316E66"/>
    <w:rsid w:val="0031717E"/>
    <w:rsid w:val="003214AD"/>
    <w:rsid w:val="0032245B"/>
    <w:rsid w:val="003231F8"/>
    <w:rsid w:val="00323EBF"/>
    <w:rsid w:val="00325DDE"/>
    <w:rsid w:val="0032671C"/>
    <w:rsid w:val="003275F0"/>
    <w:rsid w:val="003277ED"/>
    <w:rsid w:val="00330A8C"/>
    <w:rsid w:val="0033246C"/>
    <w:rsid w:val="0033509D"/>
    <w:rsid w:val="00336C0D"/>
    <w:rsid w:val="00337595"/>
    <w:rsid w:val="003416CA"/>
    <w:rsid w:val="003429D6"/>
    <w:rsid w:val="0034377C"/>
    <w:rsid w:val="00343861"/>
    <w:rsid w:val="003445DA"/>
    <w:rsid w:val="003448C7"/>
    <w:rsid w:val="00344E72"/>
    <w:rsid w:val="00345F91"/>
    <w:rsid w:val="003460FA"/>
    <w:rsid w:val="00350175"/>
    <w:rsid w:val="00353716"/>
    <w:rsid w:val="00354AB7"/>
    <w:rsid w:val="00354EE6"/>
    <w:rsid w:val="00354F0B"/>
    <w:rsid w:val="003620ED"/>
    <w:rsid w:val="00362426"/>
    <w:rsid w:val="003656FD"/>
    <w:rsid w:val="00365E69"/>
    <w:rsid w:val="00365EE8"/>
    <w:rsid w:val="00370325"/>
    <w:rsid w:val="003707C9"/>
    <w:rsid w:val="0037096F"/>
    <w:rsid w:val="00371858"/>
    <w:rsid w:val="0037277A"/>
    <w:rsid w:val="0037294F"/>
    <w:rsid w:val="003732BE"/>
    <w:rsid w:val="0037342B"/>
    <w:rsid w:val="0037502E"/>
    <w:rsid w:val="0037509C"/>
    <w:rsid w:val="00375AF9"/>
    <w:rsid w:val="0037678A"/>
    <w:rsid w:val="00376D57"/>
    <w:rsid w:val="00376FD8"/>
    <w:rsid w:val="0038068F"/>
    <w:rsid w:val="00381F77"/>
    <w:rsid w:val="003824E0"/>
    <w:rsid w:val="00382765"/>
    <w:rsid w:val="003833D0"/>
    <w:rsid w:val="0038357F"/>
    <w:rsid w:val="00383A12"/>
    <w:rsid w:val="00383E09"/>
    <w:rsid w:val="00383E13"/>
    <w:rsid w:val="00384875"/>
    <w:rsid w:val="00386089"/>
    <w:rsid w:val="00387BAD"/>
    <w:rsid w:val="00387F08"/>
    <w:rsid w:val="00391705"/>
    <w:rsid w:val="00393937"/>
    <w:rsid w:val="00393946"/>
    <w:rsid w:val="003948B1"/>
    <w:rsid w:val="00394A06"/>
    <w:rsid w:val="00394DC0"/>
    <w:rsid w:val="00395543"/>
    <w:rsid w:val="00397383"/>
    <w:rsid w:val="00397F2F"/>
    <w:rsid w:val="003A0448"/>
    <w:rsid w:val="003A0CA8"/>
    <w:rsid w:val="003A0DCC"/>
    <w:rsid w:val="003A143F"/>
    <w:rsid w:val="003A1719"/>
    <w:rsid w:val="003A2574"/>
    <w:rsid w:val="003A3169"/>
    <w:rsid w:val="003A3296"/>
    <w:rsid w:val="003A545C"/>
    <w:rsid w:val="003A560F"/>
    <w:rsid w:val="003A584C"/>
    <w:rsid w:val="003A6744"/>
    <w:rsid w:val="003A6C2A"/>
    <w:rsid w:val="003A7797"/>
    <w:rsid w:val="003A7A3F"/>
    <w:rsid w:val="003B0580"/>
    <w:rsid w:val="003B0699"/>
    <w:rsid w:val="003B06ED"/>
    <w:rsid w:val="003B2164"/>
    <w:rsid w:val="003B3859"/>
    <w:rsid w:val="003B3C28"/>
    <w:rsid w:val="003B46CB"/>
    <w:rsid w:val="003B4D8C"/>
    <w:rsid w:val="003B534A"/>
    <w:rsid w:val="003B7713"/>
    <w:rsid w:val="003C0120"/>
    <w:rsid w:val="003C0658"/>
    <w:rsid w:val="003C0D2D"/>
    <w:rsid w:val="003C0DE9"/>
    <w:rsid w:val="003C0E1E"/>
    <w:rsid w:val="003C18D7"/>
    <w:rsid w:val="003C2BF9"/>
    <w:rsid w:val="003C3208"/>
    <w:rsid w:val="003C5B5B"/>
    <w:rsid w:val="003C6080"/>
    <w:rsid w:val="003C7199"/>
    <w:rsid w:val="003D0B23"/>
    <w:rsid w:val="003D1ABD"/>
    <w:rsid w:val="003D4309"/>
    <w:rsid w:val="003D4B35"/>
    <w:rsid w:val="003D5641"/>
    <w:rsid w:val="003D6497"/>
    <w:rsid w:val="003E2CB5"/>
    <w:rsid w:val="003E48F3"/>
    <w:rsid w:val="003E491C"/>
    <w:rsid w:val="003E4F43"/>
    <w:rsid w:val="003E53CE"/>
    <w:rsid w:val="003E5CC1"/>
    <w:rsid w:val="003E5EE3"/>
    <w:rsid w:val="003E6252"/>
    <w:rsid w:val="003E7D4E"/>
    <w:rsid w:val="003E7EFC"/>
    <w:rsid w:val="003F1FD9"/>
    <w:rsid w:val="003F692D"/>
    <w:rsid w:val="003F6DC0"/>
    <w:rsid w:val="00401359"/>
    <w:rsid w:val="0040180F"/>
    <w:rsid w:val="00401ACB"/>
    <w:rsid w:val="00402502"/>
    <w:rsid w:val="004033EA"/>
    <w:rsid w:val="00403C4B"/>
    <w:rsid w:val="00404EC1"/>
    <w:rsid w:val="004056F6"/>
    <w:rsid w:val="00405E33"/>
    <w:rsid w:val="004068EB"/>
    <w:rsid w:val="00411930"/>
    <w:rsid w:val="00411AF0"/>
    <w:rsid w:val="00411EF0"/>
    <w:rsid w:val="00412C47"/>
    <w:rsid w:val="00412D31"/>
    <w:rsid w:val="004148E6"/>
    <w:rsid w:val="00415624"/>
    <w:rsid w:val="00415F47"/>
    <w:rsid w:val="004163AC"/>
    <w:rsid w:val="0041686D"/>
    <w:rsid w:val="0041713B"/>
    <w:rsid w:val="00417D9A"/>
    <w:rsid w:val="004206C7"/>
    <w:rsid w:val="004214A4"/>
    <w:rsid w:val="0042249B"/>
    <w:rsid w:val="004226C8"/>
    <w:rsid w:val="004236A9"/>
    <w:rsid w:val="004238BF"/>
    <w:rsid w:val="00426F5A"/>
    <w:rsid w:val="00427AE9"/>
    <w:rsid w:val="00427C2A"/>
    <w:rsid w:val="00427E28"/>
    <w:rsid w:val="00432788"/>
    <w:rsid w:val="00434926"/>
    <w:rsid w:val="00434F29"/>
    <w:rsid w:val="00434F37"/>
    <w:rsid w:val="00436EBC"/>
    <w:rsid w:val="00437B34"/>
    <w:rsid w:val="00437EA5"/>
    <w:rsid w:val="00441A3A"/>
    <w:rsid w:val="004421AC"/>
    <w:rsid w:val="00442454"/>
    <w:rsid w:val="0044330D"/>
    <w:rsid w:val="00443E99"/>
    <w:rsid w:val="00444351"/>
    <w:rsid w:val="00444D57"/>
    <w:rsid w:val="004461F6"/>
    <w:rsid w:val="0044753E"/>
    <w:rsid w:val="00447971"/>
    <w:rsid w:val="004509FC"/>
    <w:rsid w:val="004527CD"/>
    <w:rsid w:val="00453ED3"/>
    <w:rsid w:val="00454769"/>
    <w:rsid w:val="00455593"/>
    <w:rsid w:val="0045607E"/>
    <w:rsid w:val="004569F4"/>
    <w:rsid w:val="00456D72"/>
    <w:rsid w:val="00456D80"/>
    <w:rsid w:val="004570F0"/>
    <w:rsid w:val="00460BEB"/>
    <w:rsid w:val="004612C4"/>
    <w:rsid w:val="00462B21"/>
    <w:rsid w:val="0046341F"/>
    <w:rsid w:val="00464E28"/>
    <w:rsid w:val="0046639F"/>
    <w:rsid w:val="00466A4D"/>
    <w:rsid w:val="00467D4A"/>
    <w:rsid w:val="00470F65"/>
    <w:rsid w:val="004712C2"/>
    <w:rsid w:val="0047168E"/>
    <w:rsid w:val="00471FE7"/>
    <w:rsid w:val="004724AE"/>
    <w:rsid w:val="00472EB1"/>
    <w:rsid w:val="00473CB2"/>
    <w:rsid w:val="00475C3B"/>
    <w:rsid w:val="004779E4"/>
    <w:rsid w:val="00480F3F"/>
    <w:rsid w:val="004815E4"/>
    <w:rsid w:val="00482151"/>
    <w:rsid w:val="00483471"/>
    <w:rsid w:val="00483A30"/>
    <w:rsid w:val="00483DF7"/>
    <w:rsid w:val="0048621A"/>
    <w:rsid w:val="00487936"/>
    <w:rsid w:val="00491E4F"/>
    <w:rsid w:val="004941EB"/>
    <w:rsid w:val="00494A59"/>
    <w:rsid w:val="00495244"/>
    <w:rsid w:val="00496114"/>
    <w:rsid w:val="0049673E"/>
    <w:rsid w:val="004A0A9E"/>
    <w:rsid w:val="004A2274"/>
    <w:rsid w:val="004A4E07"/>
    <w:rsid w:val="004A5237"/>
    <w:rsid w:val="004A6424"/>
    <w:rsid w:val="004A700F"/>
    <w:rsid w:val="004B16D3"/>
    <w:rsid w:val="004B1845"/>
    <w:rsid w:val="004B29BE"/>
    <w:rsid w:val="004B3688"/>
    <w:rsid w:val="004B3F86"/>
    <w:rsid w:val="004B4481"/>
    <w:rsid w:val="004B4919"/>
    <w:rsid w:val="004B6F70"/>
    <w:rsid w:val="004B7437"/>
    <w:rsid w:val="004B7D74"/>
    <w:rsid w:val="004C0EC7"/>
    <w:rsid w:val="004C146A"/>
    <w:rsid w:val="004C34BE"/>
    <w:rsid w:val="004C5630"/>
    <w:rsid w:val="004C5D1F"/>
    <w:rsid w:val="004C6F6A"/>
    <w:rsid w:val="004C77A0"/>
    <w:rsid w:val="004D06B4"/>
    <w:rsid w:val="004D15B5"/>
    <w:rsid w:val="004D213C"/>
    <w:rsid w:val="004D55F5"/>
    <w:rsid w:val="004D73F4"/>
    <w:rsid w:val="004D79AF"/>
    <w:rsid w:val="004E0DBB"/>
    <w:rsid w:val="004E2B33"/>
    <w:rsid w:val="004E3595"/>
    <w:rsid w:val="004E363F"/>
    <w:rsid w:val="004E3DDF"/>
    <w:rsid w:val="004E575B"/>
    <w:rsid w:val="004E6124"/>
    <w:rsid w:val="004E7543"/>
    <w:rsid w:val="004E7CE6"/>
    <w:rsid w:val="004F0256"/>
    <w:rsid w:val="004F0D05"/>
    <w:rsid w:val="004F0E80"/>
    <w:rsid w:val="004F113A"/>
    <w:rsid w:val="004F1C13"/>
    <w:rsid w:val="004F1F1E"/>
    <w:rsid w:val="004F3006"/>
    <w:rsid w:val="004F3458"/>
    <w:rsid w:val="004F4676"/>
    <w:rsid w:val="004F68F8"/>
    <w:rsid w:val="00501CAE"/>
    <w:rsid w:val="00504C80"/>
    <w:rsid w:val="00505D41"/>
    <w:rsid w:val="005070EE"/>
    <w:rsid w:val="00507452"/>
    <w:rsid w:val="00511619"/>
    <w:rsid w:val="00511A56"/>
    <w:rsid w:val="00511CBF"/>
    <w:rsid w:val="00512168"/>
    <w:rsid w:val="005128BD"/>
    <w:rsid w:val="005134F8"/>
    <w:rsid w:val="00514BCD"/>
    <w:rsid w:val="005166E6"/>
    <w:rsid w:val="00522264"/>
    <w:rsid w:val="00522678"/>
    <w:rsid w:val="005246F9"/>
    <w:rsid w:val="00527DF9"/>
    <w:rsid w:val="005312BF"/>
    <w:rsid w:val="00531B3F"/>
    <w:rsid w:val="00533CE1"/>
    <w:rsid w:val="00537D4C"/>
    <w:rsid w:val="00537E61"/>
    <w:rsid w:val="00540C3F"/>
    <w:rsid w:val="00544026"/>
    <w:rsid w:val="005446F9"/>
    <w:rsid w:val="0054582A"/>
    <w:rsid w:val="005507DE"/>
    <w:rsid w:val="00550BD3"/>
    <w:rsid w:val="00551E1F"/>
    <w:rsid w:val="005535B0"/>
    <w:rsid w:val="00553DD0"/>
    <w:rsid w:val="005540FB"/>
    <w:rsid w:val="00554F2E"/>
    <w:rsid w:val="00556418"/>
    <w:rsid w:val="0055697F"/>
    <w:rsid w:val="00557A03"/>
    <w:rsid w:val="00560092"/>
    <w:rsid w:val="0056053C"/>
    <w:rsid w:val="00560947"/>
    <w:rsid w:val="00561665"/>
    <w:rsid w:val="00561712"/>
    <w:rsid w:val="00561B96"/>
    <w:rsid w:val="00562C57"/>
    <w:rsid w:val="0056334B"/>
    <w:rsid w:val="00563A7C"/>
    <w:rsid w:val="00563B11"/>
    <w:rsid w:val="00565307"/>
    <w:rsid w:val="00565DD7"/>
    <w:rsid w:val="0056763D"/>
    <w:rsid w:val="0057148F"/>
    <w:rsid w:val="00571C1E"/>
    <w:rsid w:val="005730B0"/>
    <w:rsid w:val="00573757"/>
    <w:rsid w:val="00574262"/>
    <w:rsid w:val="005746BB"/>
    <w:rsid w:val="0057510A"/>
    <w:rsid w:val="00575210"/>
    <w:rsid w:val="00575371"/>
    <w:rsid w:val="005759EF"/>
    <w:rsid w:val="00575F46"/>
    <w:rsid w:val="00576D95"/>
    <w:rsid w:val="00577384"/>
    <w:rsid w:val="00577526"/>
    <w:rsid w:val="00581E4A"/>
    <w:rsid w:val="00582B03"/>
    <w:rsid w:val="0058442C"/>
    <w:rsid w:val="0058496C"/>
    <w:rsid w:val="00584C59"/>
    <w:rsid w:val="00585B75"/>
    <w:rsid w:val="00585E95"/>
    <w:rsid w:val="005870AF"/>
    <w:rsid w:val="00587541"/>
    <w:rsid w:val="005909E6"/>
    <w:rsid w:val="00592281"/>
    <w:rsid w:val="005931D5"/>
    <w:rsid w:val="00594377"/>
    <w:rsid w:val="005945C1"/>
    <w:rsid w:val="005A166D"/>
    <w:rsid w:val="005A31C0"/>
    <w:rsid w:val="005A43B8"/>
    <w:rsid w:val="005A7421"/>
    <w:rsid w:val="005A7895"/>
    <w:rsid w:val="005A7BBD"/>
    <w:rsid w:val="005B0E89"/>
    <w:rsid w:val="005B1FE4"/>
    <w:rsid w:val="005B3BD6"/>
    <w:rsid w:val="005C0EAE"/>
    <w:rsid w:val="005C20CC"/>
    <w:rsid w:val="005C3D93"/>
    <w:rsid w:val="005C4E79"/>
    <w:rsid w:val="005C4EF6"/>
    <w:rsid w:val="005C69B6"/>
    <w:rsid w:val="005C6AD2"/>
    <w:rsid w:val="005D03E4"/>
    <w:rsid w:val="005D32BC"/>
    <w:rsid w:val="005D3C98"/>
    <w:rsid w:val="005D45FE"/>
    <w:rsid w:val="005D5DEC"/>
    <w:rsid w:val="005E0198"/>
    <w:rsid w:val="005E1082"/>
    <w:rsid w:val="005E1570"/>
    <w:rsid w:val="005E289D"/>
    <w:rsid w:val="005E3220"/>
    <w:rsid w:val="005E5395"/>
    <w:rsid w:val="005E5442"/>
    <w:rsid w:val="005E54F9"/>
    <w:rsid w:val="005E63F2"/>
    <w:rsid w:val="005E6511"/>
    <w:rsid w:val="005E708A"/>
    <w:rsid w:val="005E779A"/>
    <w:rsid w:val="005F17C5"/>
    <w:rsid w:val="005F17CF"/>
    <w:rsid w:val="005F1949"/>
    <w:rsid w:val="005F1B4C"/>
    <w:rsid w:val="005F21E0"/>
    <w:rsid w:val="00600573"/>
    <w:rsid w:val="00604B34"/>
    <w:rsid w:val="00605364"/>
    <w:rsid w:val="00606CA6"/>
    <w:rsid w:val="00607469"/>
    <w:rsid w:val="006077D2"/>
    <w:rsid w:val="00607B62"/>
    <w:rsid w:val="00607F2C"/>
    <w:rsid w:val="0061055E"/>
    <w:rsid w:val="00610AB5"/>
    <w:rsid w:val="0061122B"/>
    <w:rsid w:val="00612BD0"/>
    <w:rsid w:val="00615440"/>
    <w:rsid w:val="00616E97"/>
    <w:rsid w:val="00617802"/>
    <w:rsid w:val="00621A49"/>
    <w:rsid w:val="00621D3C"/>
    <w:rsid w:val="00621FDB"/>
    <w:rsid w:val="00622C77"/>
    <w:rsid w:val="0062576C"/>
    <w:rsid w:val="006258E5"/>
    <w:rsid w:val="00626992"/>
    <w:rsid w:val="00630075"/>
    <w:rsid w:val="0063149E"/>
    <w:rsid w:val="00631541"/>
    <w:rsid w:val="00632DBC"/>
    <w:rsid w:val="006342CA"/>
    <w:rsid w:val="006350EB"/>
    <w:rsid w:val="006354DF"/>
    <w:rsid w:val="0063591F"/>
    <w:rsid w:val="006379A7"/>
    <w:rsid w:val="00641520"/>
    <w:rsid w:val="00642E8C"/>
    <w:rsid w:val="00643293"/>
    <w:rsid w:val="006437FB"/>
    <w:rsid w:val="00644387"/>
    <w:rsid w:val="00647CC4"/>
    <w:rsid w:val="00653403"/>
    <w:rsid w:val="00653598"/>
    <w:rsid w:val="00654B03"/>
    <w:rsid w:val="00654C22"/>
    <w:rsid w:val="00654F30"/>
    <w:rsid w:val="00655DB2"/>
    <w:rsid w:val="0065641F"/>
    <w:rsid w:val="00656E2B"/>
    <w:rsid w:val="00657C43"/>
    <w:rsid w:val="00661ACA"/>
    <w:rsid w:val="0066345A"/>
    <w:rsid w:val="0066390E"/>
    <w:rsid w:val="006643DD"/>
    <w:rsid w:val="006650B1"/>
    <w:rsid w:val="00666AB4"/>
    <w:rsid w:val="0066713E"/>
    <w:rsid w:val="00667DE8"/>
    <w:rsid w:val="006700A8"/>
    <w:rsid w:val="00670E10"/>
    <w:rsid w:val="00672503"/>
    <w:rsid w:val="00672C80"/>
    <w:rsid w:val="00675333"/>
    <w:rsid w:val="006753DF"/>
    <w:rsid w:val="00675975"/>
    <w:rsid w:val="0067679F"/>
    <w:rsid w:val="006768AD"/>
    <w:rsid w:val="00676BE0"/>
    <w:rsid w:val="006774FB"/>
    <w:rsid w:val="00681A4B"/>
    <w:rsid w:val="00681CB5"/>
    <w:rsid w:val="006827FB"/>
    <w:rsid w:val="00682CEA"/>
    <w:rsid w:val="0068310D"/>
    <w:rsid w:val="00683364"/>
    <w:rsid w:val="00684EE6"/>
    <w:rsid w:val="00685919"/>
    <w:rsid w:val="00685CAD"/>
    <w:rsid w:val="00685D5D"/>
    <w:rsid w:val="0068709D"/>
    <w:rsid w:val="00687547"/>
    <w:rsid w:val="00690A1A"/>
    <w:rsid w:val="00690CFD"/>
    <w:rsid w:val="0069164B"/>
    <w:rsid w:val="00693100"/>
    <w:rsid w:val="00693802"/>
    <w:rsid w:val="006948B4"/>
    <w:rsid w:val="006956A6"/>
    <w:rsid w:val="00695819"/>
    <w:rsid w:val="00696D40"/>
    <w:rsid w:val="00697A12"/>
    <w:rsid w:val="006A47D9"/>
    <w:rsid w:val="006A48EC"/>
    <w:rsid w:val="006A58D7"/>
    <w:rsid w:val="006A6FE4"/>
    <w:rsid w:val="006B043C"/>
    <w:rsid w:val="006B0CDE"/>
    <w:rsid w:val="006B11FF"/>
    <w:rsid w:val="006B1B68"/>
    <w:rsid w:val="006B27D7"/>
    <w:rsid w:val="006B2834"/>
    <w:rsid w:val="006B324C"/>
    <w:rsid w:val="006B36A3"/>
    <w:rsid w:val="006B5DAD"/>
    <w:rsid w:val="006B6458"/>
    <w:rsid w:val="006B7CE8"/>
    <w:rsid w:val="006B7F44"/>
    <w:rsid w:val="006C02B7"/>
    <w:rsid w:val="006C08CB"/>
    <w:rsid w:val="006C2676"/>
    <w:rsid w:val="006C27E4"/>
    <w:rsid w:val="006C6722"/>
    <w:rsid w:val="006C7166"/>
    <w:rsid w:val="006C79B2"/>
    <w:rsid w:val="006C7B95"/>
    <w:rsid w:val="006D024B"/>
    <w:rsid w:val="006D091D"/>
    <w:rsid w:val="006D1522"/>
    <w:rsid w:val="006D1BC9"/>
    <w:rsid w:val="006D1DC0"/>
    <w:rsid w:val="006D1F99"/>
    <w:rsid w:val="006D1FEC"/>
    <w:rsid w:val="006D2FE4"/>
    <w:rsid w:val="006D3398"/>
    <w:rsid w:val="006D3FE1"/>
    <w:rsid w:val="006D46C5"/>
    <w:rsid w:val="006D4A4B"/>
    <w:rsid w:val="006D4B81"/>
    <w:rsid w:val="006D5E2D"/>
    <w:rsid w:val="006D60B7"/>
    <w:rsid w:val="006D73FB"/>
    <w:rsid w:val="006D7726"/>
    <w:rsid w:val="006E02FD"/>
    <w:rsid w:val="006E13BA"/>
    <w:rsid w:val="006E1B97"/>
    <w:rsid w:val="006E207A"/>
    <w:rsid w:val="006E2AB5"/>
    <w:rsid w:val="006E3D3B"/>
    <w:rsid w:val="006E3E53"/>
    <w:rsid w:val="006E3E98"/>
    <w:rsid w:val="006E5D17"/>
    <w:rsid w:val="006E67D9"/>
    <w:rsid w:val="006E680F"/>
    <w:rsid w:val="006E6B45"/>
    <w:rsid w:val="006F0EC1"/>
    <w:rsid w:val="006F1B38"/>
    <w:rsid w:val="006F282F"/>
    <w:rsid w:val="006F550B"/>
    <w:rsid w:val="006F5F1A"/>
    <w:rsid w:val="00703318"/>
    <w:rsid w:val="00703B57"/>
    <w:rsid w:val="0070412E"/>
    <w:rsid w:val="00704813"/>
    <w:rsid w:val="00706047"/>
    <w:rsid w:val="007067E9"/>
    <w:rsid w:val="0070697C"/>
    <w:rsid w:val="00707089"/>
    <w:rsid w:val="00707CEB"/>
    <w:rsid w:val="00710F13"/>
    <w:rsid w:val="007119BF"/>
    <w:rsid w:val="0071386F"/>
    <w:rsid w:val="007146BE"/>
    <w:rsid w:val="00714F2B"/>
    <w:rsid w:val="007160EF"/>
    <w:rsid w:val="00716EDB"/>
    <w:rsid w:val="00720B3C"/>
    <w:rsid w:val="00720EDE"/>
    <w:rsid w:val="00721151"/>
    <w:rsid w:val="00721282"/>
    <w:rsid w:val="00721343"/>
    <w:rsid w:val="007214B4"/>
    <w:rsid w:val="007243E7"/>
    <w:rsid w:val="007316D8"/>
    <w:rsid w:val="007340AC"/>
    <w:rsid w:val="007352D0"/>
    <w:rsid w:val="00737944"/>
    <w:rsid w:val="00741A4E"/>
    <w:rsid w:val="00741F82"/>
    <w:rsid w:val="00742EB5"/>
    <w:rsid w:val="00744213"/>
    <w:rsid w:val="00744F05"/>
    <w:rsid w:val="00746A62"/>
    <w:rsid w:val="00746E42"/>
    <w:rsid w:val="00747F27"/>
    <w:rsid w:val="00750199"/>
    <w:rsid w:val="007507AA"/>
    <w:rsid w:val="0075187D"/>
    <w:rsid w:val="00751E1E"/>
    <w:rsid w:val="00752FC9"/>
    <w:rsid w:val="007536CD"/>
    <w:rsid w:val="007544FD"/>
    <w:rsid w:val="00754E97"/>
    <w:rsid w:val="00761A92"/>
    <w:rsid w:val="00762362"/>
    <w:rsid w:val="00762F00"/>
    <w:rsid w:val="00763D67"/>
    <w:rsid w:val="00764229"/>
    <w:rsid w:val="00764397"/>
    <w:rsid w:val="00765C51"/>
    <w:rsid w:val="00765E29"/>
    <w:rsid w:val="00765F2A"/>
    <w:rsid w:val="007674D5"/>
    <w:rsid w:val="007701EC"/>
    <w:rsid w:val="00770805"/>
    <w:rsid w:val="007713BA"/>
    <w:rsid w:val="0077147C"/>
    <w:rsid w:val="00772591"/>
    <w:rsid w:val="00772D11"/>
    <w:rsid w:val="0077345A"/>
    <w:rsid w:val="0077498E"/>
    <w:rsid w:val="00774CF4"/>
    <w:rsid w:val="00775433"/>
    <w:rsid w:val="00775E1C"/>
    <w:rsid w:val="00776300"/>
    <w:rsid w:val="00776D3E"/>
    <w:rsid w:val="0078134A"/>
    <w:rsid w:val="00781C24"/>
    <w:rsid w:val="007824FD"/>
    <w:rsid w:val="00782ADB"/>
    <w:rsid w:val="00783A46"/>
    <w:rsid w:val="00785343"/>
    <w:rsid w:val="007861E9"/>
    <w:rsid w:val="007864B9"/>
    <w:rsid w:val="00786FDA"/>
    <w:rsid w:val="00787655"/>
    <w:rsid w:val="007903D0"/>
    <w:rsid w:val="00793537"/>
    <w:rsid w:val="0079445C"/>
    <w:rsid w:val="007969D7"/>
    <w:rsid w:val="00796CAF"/>
    <w:rsid w:val="00797404"/>
    <w:rsid w:val="0079748B"/>
    <w:rsid w:val="007A0D53"/>
    <w:rsid w:val="007A10DF"/>
    <w:rsid w:val="007A202F"/>
    <w:rsid w:val="007A4054"/>
    <w:rsid w:val="007A5392"/>
    <w:rsid w:val="007A7D7C"/>
    <w:rsid w:val="007B1CDE"/>
    <w:rsid w:val="007B1F68"/>
    <w:rsid w:val="007B2E64"/>
    <w:rsid w:val="007B3590"/>
    <w:rsid w:val="007B524B"/>
    <w:rsid w:val="007B64A7"/>
    <w:rsid w:val="007B6A25"/>
    <w:rsid w:val="007B70CF"/>
    <w:rsid w:val="007C0CF5"/>
    <w:rsid w:val="007C3559"/>
    <w:rsid w:val="007C55D1"/>
    <w:rsid w:val="007C5BCD"/>
    <w:rsid w:val="007C63B6"/>
    <w:rsid w:val="007C6557"/>
    <w:rsid w:val="007C66A4"/>
    <w:rsid w:val="007C67D0"/>
    <w:rsid w:val="007D1DB7"/>
    <w:rsid w:val="007D3FC7"/>
    <w:rsid w:val="007D40E0"/>
    <w:rsid w:val="007D4371"/>
    <w:rsid w:val="007D7A54"/>
    <w:rsid w:val="007E0260"/>
    <w:rsid w:val="007E0331"/>
    <w:rsid w:val="007E1D9D"/>
    <w:rsid w:val="007E2E79"/>
    <w:rsid w:val="007E3891"/>
    <w:rsid w:val="007E66F2"/>
    <w:rsid w:val="007E706B"/>
    <w:rsid w:val="007E7830"/>
    <w:rsid w:val="007E7FC9"/>
    <w:rsid w:val="007F0117"/>
    <w:rsid w:val="007F1676"/>
    <w:rsid w:val="007F1C90"/>
    <w:rsid w:val="007F22C7"/>
    <w:rsid w:val="007F2920"/>
    <w:rsid w:val="007F2BE0"/>
    <w:rsid w:val="007F2E90"/>
    <w:rsid w:val="007F5B78"/>
    <w:rsid w:val="007F68F8"/>
    <w:rsid w:val="007F7399"/>
    <w:rsid w:val="007F7B9F"/>
    <w:rsid w:val="008009EA"/>
    <w:rsid w:val="00803FA3"/>
    <w:rsid w:val="00804D7E"/>
    <w:rsid w:val="00806461"/>
    <w:rsid w:val="00806F79"/>
    <w:rsid w:val="00807F71"/>
    <w:rsid w:val="00810706"/>
    <w:rsid w:val="0081284A"/>
    <w:rsid w:val="0081395B"/>
    <w:rsid w:val="0081463A"/>
    <w:rsid w:val="0081536F"/>
    <w:rsid w:val="00815639"/>
    <w:rsid w:val="00820422"/>
    <w:rsid w:val="00822605"/>
    <w:rsid w:val="00822860"/>
    <w:rsid w:val="0082290C"/>
    <w:rsid w:val="00822B18"/>
    <w:rsid w:val="00822DB9"/>
    <w:rsid w:val="00825717"/>
    <w:rsid w:val="0083246D"/>
    <w:rsid w:val="0083250D"/>
    <w:rsid w:val="00835946"/>
    <w:rsid w:val="00835A13"/>
    <w:rsid w:val="00835E6C"/>
    <w:rsid w:val="00836817"/>
    <w:rsid w:val="00836B5E"/>
    <w:rsid w:val="00840700"/>
    <w:rsid w:val="00841824"/>
    <w:rsid w:val="00841F16"/>
    <w:rsid w:val="00842A8C"/>
    <w:rsid w:val="00852C0C"/>
    <w:rsid w:val="00854E12"/>
    <w:rsid w:val="00855479"/>
    <w:rsid w:val="008559DC"/>
    <w:rsid w:val="00856EFD"/>
    <w:rsid w:val="008572A7"/>
    <w:rsid w:val="00857A46"/>
    <w:rsid w:val="00857FC0"/>
    <w:rsid w:val="00860996"/>
    <w:rsid w:val="00862248"/>
    <w:rsid w:val="008630A0"/>
    <w:rsid w:val="00865112"/>
    <w:rsid w:val="00867282"/>
    <w:rsid w:val="00872895"/>
    <w:rsid w:val="00872D29"/>
    <w:rsid w:val="0087338E"/>
    <w:rsid w:val="008758F4"/>
    <w:rsid w:val="0088016C"/>
    <w:rsid w:val="00883850"/>
    <w:rsid w:val="0088430F"/>
    <w:rsid w:val="00884356"/>
    <w:rsid w:val="008844C7"/>
    <w:rsid w:val="00884DE6"/>
    <w:rsid w:val="0088525D"/>
    <w:rsid w:val="00886BAC"/>
    <w:rsid w:val="00887986"/>
    <w:rsid w:val="00887BB0"/>
    <w:rsid w:val="008908CE"/>
    <w:rsid w:val="00890B56"/>
    <w:rsid w:val="00891C8A"/>
    <w:rsid w:val="00892632"/>
    <w:rsid w:val="00894AE5"/>
    <w:rsid w:val="00895CEB"/>
    <w:rsid w:val="0089615B"/>
    <w:rsid w:val="00897D29"/>
    <w:rsid w:val="008A18BD"/>
    <w:rsid w:val="008B1552"/>
    <w:rsid w:val="008B2F61"/>
    <w:rsid w:val="008B3D58"/>
    <w:rsid w:val="008B44C1"/>
    <w:rsid w:val="008B604E"/>
    <w:rsid w:val="008B61FD"/>
    <w:rsid w:val="008B66BD"/>
    <w:rsid w:val="008B697C"/>
    <w:rsid w:val="008B6FFA"/>
    <w:rsid w:val="008B70FA"/>
    <w:rsid w:val="008B71EA"/>
    <w:rsid w:val="008B7F36"/>
    <w:rsid w:val="008C0E26"/>
    <w:rsid w:val="008C17B9"/>
    <w:rsid w:val="008C1BED"/>
    <w:rsid w:val="008C1FD6"/>
    <w:rsid w:val="008C2898"/>
    <w:rsid w:val="008C425A"/>
    <w:rsid w:val="008C4EC0"/>
    <w:rsid w:val="008C5D4E"/>
    <w:rsid w:val="008C627E"/>
    <w:rsid w:val="008C6D2B"/>
    <w:rsid w:val="008C7361"/>
    <w:rsid w:val="008C7DFD"/>
    <w:rsid w:val="008D14EB"/>
    <w:rsid w:val="008D1BE8"/>
    <w:rsid w:val="008D32AB"/>
    <w:rsid w:val="008D3BC9"/>
    <w:rsid w:val="008D493E"/>
    <w:rsid w:val="008D4A56"/>
    <w:rsid w:val="008D7ED4"/>
    <w:rsid w:val="008E3C35"/>
    <w:rsid w:val="008E3C74"/>
    <w:rsid w:val="008E5B39"/>
    <w:rsid w:val="008E6935"/>
    <w:rsid w:val="008E75DD"/>
    <w:rsid w:val="008E76AC"/>
    <w:rsid w:val="008E7BD8"/>
    <w:rsid w:val="008F05CC"/>
    <w:rsid w:val="008F072F"/>
    <w:rsid w:val="008F28EF"/>
    <w:rsid w:val="008F310F"/>
    <w:rsid w:val="008F354F"/>
    <w:rsid w:val="008F3C3F"/>
    <w:rsid w:val="008F4BED"/>
    <w:rsid w:val="008F5D37"/>
    <w:rsid w:val="008F7153"/>
    <w:rsid w:val="00900D26"/>
    <w:rsid w:val="00900FD4"/>
    <w:rsid w:val="009010F5"/>
    <w:rsid w:val="00901C77"/>
    <w:rsid w:val="00902EE3"/>
    <w:rsid w:val="00902F17"/>
    <w:rsid w:val="00903462"/>
    <w:rsid w:val="00904417"/>
    <w:rsid w:val="00905481"/>
    <w:rsid w:val="00905549"/>
    <w:rsid w:val="0090645C"/>
    <w:rsid w:val="00906A4A"/>
    <w:rsid w:val="009078AA"/>
    <w:rsid w:val="00907A04"/>
    <w:rsid w:val="00907FE4"/>
    <w:rsid w:val="009108C9"/>
    <w:rsid w:val="00910A9C"/>
    <w:rsid w:val="00910C27"/>
    <w:rsid w:val="00911458"/>
    <w:rsid w:val="00913BCD"/>
    <w:rsid w:val="00913DBC"/>
    <w:rsid w:val="00924335"/>
    <w:rsid w:val="00924853"/>
    <w:rsid w:val="00925802"/>
    <w:rsid w:val="009259F2"/>
    <w:rsid w:val="00926A5E"/>
    <w:rsid w:val="00926D0D"/>
    <w:rsid w:val="00927FDD"/>
    <w:rsid w:val="00930350"/>
    <w:rsid w:val="00931F5F"/>
    <w:rsid w:val="0093247C"/>
    <w:rsid w:val="009325A3"/>
    <w:rsid w:val="00933052"/>
    <w:rsid w:val="0093528D"/>
    <w:rsid w:val="0093533C"/>
    <w:rsid w:val="00935479"/>
    <w:rsid w:val="00936729"/>
    <w:rsid w:val="00937EDD"/>
    <w:rsid w:val="009403CA"/>
    <w:rsid w:val="00943C12"/>
    <w:rsid w:val="0094588D"/>
    <w:rsid w:val="00945BF7"/>
    <w:rsid w:val="00946DD7"/>
    <w:rsid w:val="00947861"/>
    <w:rsid w:val="00947B0D"/>
    <w:rsid w:val="0095071E"/>
    <w:rsid w:val="009511B1"/>
    <w:rsid w:val="00952D6F"/>
    <w:rsid w:val="009531C0"/>
    <w:rsid w:val="00954F10"/>
    <w:rsid w:val="00956AB8"/>
    <w:rsid w:val="00957149"/>
    <w:rsid w:val="00957408"/>
    <w:rsid w:val="00960272"/>
    <w:rsid w:val="0096043E"/>
    <w:rsid w:val="00960E7C"/>
    <w:rsid w:val="00965DD4"/>
    <w:rsid w:val="00966CAE"/>
    <w:rsid w:val="0096763B"/>
    <w:rsid w:val="00967B34"/>
    <w:rsid w:val="00967E2D"/>
    <w:rsid w:val="00970DF8"/>
    <w:rsid w:val="00971000"/>
    <w:rsid w:val="009712FC"/>
    <w:rsid w:val="00972D1B"/>
    <w:rsid w:val="00975229"/>
    <w:rsid w:val="009818EB"/>
    <w:rsid w:val="0098344E"/>
    <w:rsid w:val="0098346C"/>
    <w:rsid w:val="00983EBF"/>
    <w:rsid w:val="00985A75"/>
    <w:rsid w:val="00985CD5"/>
    <w:rsid w:val="00991235"/>
    <w:rsid w:val="00991833"/>
    <w:rsid w:val="00992036"/>
    <w:rsid w:val="0099322E"/>
    <w:rsid w:val="009952B8"/>
    <w:rsid w:val="009965CD"/>
    <w:rsid w:val="0099767B"/>
    <w:rsid w:val="009A00FD"/>
    <w:rsid w:val="009A0A69"/>
    <w:rsid w:val="009A2570"/>
    <w:rsid w:val="009A3194"/>
    <w:rsid w:val="009A393B"/>
    <w:rsid w:val="009A4368"/>
    <w:rsid w:val="009A4D56"/>
    <w:rsid w:val="009A4F98"/>
    <w:rsid w:val="009A62B9"/>
    <w:rsid w:val="009A7066"/>
    <w:rsid w:val="009A7730"/>
    <w:rsid w:val="009B01DD"/>
    <w:rsid w:val="009B2E20"/>
    <w:rsid w:val="009B31A8"/>
    <w:rsid w:val="009B32B9"/>
    <w:rsid w:val="009B3B0B"/>
    <w:rsid w:val="009B412C"/>
    <w:rsid w:val="009B67FC"/>
    <w:rsid w:val="009B76FE"/>
    <w:rsid w:val="009C0237"/>
    <w:rsid w:val="009C2A0E"/>
    <w:rsid w:val="009C4E89"/>
    <w:rsid w:val="009C51B9"/>
    <w:rsid w:val="009C5283"/>
    <w:rsid w:val="009C5526"/>
    <w:rsid w:val="009C6439"/>
    <w:rsid w:val="009C6708"/>
    <w:rsid w:val="009C685C"/>
    <w:rsid w:val="009C7956"/>
    <w:rsid w:val="009D0108"/>
    <w:rsid w:val="009D1F66"/>
    <w:rsid w:val="009D2F0D"/>
    <w:rsid w:val="009D340C"/>
    <w:rsid w:val="009D3E8C"/>
    <w:rsid w:val="009D51C0"/>
    <w:rsid w:val="009D5381"/>
    <w:rsid w:val="009D5893"/>
    <w:rsid w:val="009D6643"/>
    <w:rsid w:val="009D676D"/>
    <w:rsid w:val="009D6F4B"/>
    <w:rsid w:val="009E02AD"/>
    <w:rsid w:val="009E29AD"/>
    <w:rsid w:val="009E4965"/>
    <w:rsid w:val="009F05F6"/>
    <w:rsid w:val="009F0FAC"/>
    <w:rsid w:val="009F15D7"/>
    <w:rsid w:val="009F1C74"/>
    <w:rsid w:val="009F3486"/>
    <w:rsid w:val="009F3B27"/>
    <w:rsid w:val="009F48D5"/>
    <w:rsid w:val="009F4D3B"/>
    <w:rsid w:val="009F5702"/>
    <w:rsid w:val="009F5823"/>
    <w:rsid w:val="009F59A0"/>
    <w:rsid w:val="009F772D"/>
    <w:rsid w:val="009F7E69"/>
    <w:rsid w:val="00A0075C"/>
    <w:rsid w:val="00A0206A"/>
    <w:rsid w:val="00A02DDC"/>
    <w:rsid w:val="00A044DA"/>
    <w:rsid w:val="00A05A15"/>
    <w:rsid w:val="00A06378"/>
    <w:rsid w:val="00A07E83"/>
    <w:rsid w:val="00A105DE"/>
    <w:rsid w:val="00A10E7D"/>
    <w:rsid w:val="00A11A21"/>
    <w:rsid w:val="00A1326A"/>
    <w:rsid w:val="00A1462E"/>
    <w:rsid w:val="00A14A7C"/>
    <w:rsid w:val="00A17C28"/>
    <w:rsid w:val="00A210D3"/>
    <w:rsid w:val="00A223DB"/>
    <w:rsid w:val="00A2247D"/>
    <w:rsid w:val="00A225A8"/>
    <w:rsid w:val="00A247B1"/>
    <w:rsid w:val="00A24C01"/>
    <w:rsid w:val="00A24E15"/>
    <w:rsid w:val="00A26A68"/>
    <w:rsid w:val="00A26F27"/>
    <w:rsid w:val="00A27EF6"/>
    <w:rsid w:val="00A31734"/>
    <w:rsid w:val="00A3277A"/>
    <w:rsid w:val="00A32BF6"/>
    <w:rsid w:val="00A32E1C"/>
    <w:rsid w:val="00A3421A"/>
    <w:rsid w:val="00A34592"/>
    <w:rsid w:val="00A345A3"/>
    <w:rsid w:val="00A34E96"/>
    <w:rsid w:val="00A41370"/>
    <w:rsid w:val="00A41932"/>
    <w:rsid w:val="00A4220D"/>
    <w:rsid w:val="00A42302"/>
    <w:rsid w:val="00A432AB"/>
    <w:rsid w:val="00A43F2A"/>
    <w:rsid w:val="00A444EF"/>
    <w:rsid w:val="00A4772B"/>
    <w:rsid w:val="00A50A2D"/>
    <w:rsid w:val="00A52176"/>
    <w:rsid w:val="00A52A93"/>
    <w:rsid w:val="00A54464"/>
    <w:rsid w:val="00A54C35"/>
    <w:rsid w:val="00A5713F"/>
    <w:rsid w:val="00A60CEC"/>
    <w:rsid w:val="00A61711"/>
    <w:rsid w:val="00A6201C"/>
    <w:rsid w:val="00A62195"/>
    <w:rsid w:val="00A6234A"/>
    <w:rsid w:val="00A6368B"/>
    <w:rsid w:val="00A639E7"/>
    <w:rsid w:val="00A63E77"/>
    <w:rsid w:val="00A64601"/>
    <w:rsid w:val="00A64830"/>
    <w:rsid w:val="00A64990"/>
    <w:rsid w:val="00A67108"/>
    <w:rsid w:val="00A6715E"/>
    <w:rsid w:val="00A674AE"/>
    <w:rsid w:val="00A7091F"/>
    <w:rsid w:val="00A71D03"/>
    <w:rsid w:val="00A71E0D"/>
    <w:rsid w:val="00A721EB"/>
    <w:rsid w:val="00A72427"/>
    <w:rsid w:val="00A72719"/>
    <w:rsid w:val="00A73278"/>
    <w:rsid w:val="00A73922"/>
    <w:rsid w:val="00A751A9"/>
    <w:rsid w:val="00A760C9"/>
    <w:rsid w:val="00A761B1"/>
    <w:rsid w:val="00A76466"/>
    <w:rsid w:val="00A772D5"/>
    <w:rsid w:val="00A77569"/>
    <w:rsid w:val="00A8163B"/>
    <w:rsid w:val="00A81BF6"/>
    <w:rsid w:val="00A823CF"/>
    <w:rsid w:val="00A8272A"/>
    <w:rsid w:val="00A82DC6"/>
    <w:rsid w:val="00A8371A"/>
    <w:rsid w:val="00A837A4"/>
    <w:rsid w:val="00A853EC"/>
    <w:rsid w:val="00A856E9"/>
    <w:rsid w:val="00A85D13"/>
    <w:rsid w:val="00A9047B"/>
    <w:rsid w:val="00A91C7F"/>
    <w:rsid w:val="00A9342E"/>
    <w:rsid w:val="00A96A17"/>
    <w:rsid w:val="00A96A2F"/>
    <w:rsid w:val="00AA1249"/>
    <w:rsid w:val="00AA3C27"/>
    <w:rsid w:val="00AA42CD"/>
    <w:rsid w:val="00AA7918"/>
    <w:rsid w:val="00AB040B"/>
    <w:rsid w:val="00AB1F9B"/>
    <w:rsid w:val="00AB28C3"/>
    <w:rsid w:val="00AB68C6"/>
    <w:rsid w:val="00AC45C4"/>
    <w:rsid w:val="00AC5D79"/>
    <w:rsid w:val="00AC669D"/>
    <w:rsid w:val="00AC6B1E"/>
    <w:rsid w:val="00AC7FE0"/>
    <w:rsid w:val="00AD1D31"/>
    <w:rsid w:val="00AD2464"/>
    <w:rsid w:val="00AD48C8"/>
    <w:rsid w:val="00AD70AA"/>
    <w:rsid w:val="00AD7E1D"/>
    <w:rsid w:val="00AE0097"/>
    <w:rsid w:val="00AE114A"/>
    <w:rsid w:val="00AE2561"/>
    <w:rsid w:val="00AE2AAF"/>
    <w:rsid w:val="00AE53F1"/>
    <w:rsid w:val="00AF03E1"/>
    <w:rsid w:val="00AF0665"/>
    <w:rsid w:val="00AF10C5"/>
    <w:rsid w:val="00AF281D"/>
    <w:rsid w:val="00AF3F5C"/>
    <w:rsid w:val="00AF7389"/>
    <w:rsid w:val="00AF73FA"/>
    <w:rsid w:val="00B00E8C"/>
    <w:rsid w:val="00B0164C"/>
    <w:rsid w:val="00B03A47"/>
    <w:rsid w:val="00B063A6"/>
    <w:rsid w:val="00B06756"/>
    <w:rsid w:val="00B069DF"/>
    <w:rsid w:val="00B1029E"/>
    <w:rsid w:val="00B10AB8"/>
    <w:rsid w:val="00B116C5"/>
    <w:rsid w:val="00B11773"/>
    <w:rsid w:val="00B11FBE"/>
    <w:rsid w:val="00B131A6"/>
    <w:rsid w:val="00B13C75"/>
    <w:rsid w:val="00B13D20"/>
    <w:rsid w:val="00B14CE8"/>
    <w:rsid w:val="00B15114"/>
    <w:rsid w:val="00B173B4"/>
    <w:rsid w:val="00B204CE"/>
    <w:rsid w:val="00B217D4"/>
    <w:rsid w:val="00B21F61"/>
    <w:rsid w:val="00B22E1C"/>
    <w:rsid w:val="00B2461E"/>
    <w:rsid w:val="00B25DD7"/>
    <w:rsid w:val="00B25F09"/>
    <w:rsid w:val="00B30045"/>
    <w:rsid w:val="00B314EF"/>
    <w:rsid w:val="00B321DA"/>
    <w:rsid w:val="00B33399"/>
    <w:rsid w:val="00B33BD4"/>
    <w:rsid w:val="00B341B5"/>
    <w:rsid w:val="00B34881"/>
    <w:rsid w:val="00B35BA6"/>
    <w:rsid w:val="00B36159"/>
    <w:rsid w:val="00B422DD"/>
    <w:rsid w:val="00B427CD"/>
    <w:rsid w:val="00B438EB"/>
    <w:rsid w:val="00B447FC"/>
    <w:rsid w:val="00B457B8"/>
    <w:rsid w:val="00B50101"/>
    <w:rsid w:val="00B5132A"/>
    <w:rsid w:val="00B52F80"/>
    <w:rsid w:val="00B53642"/>
    <w:rsid w:val="00B545B6"/>
    <w:rsid w:val="00B547D2"/>
    <w:rsid w:val="00B55B45"/>
    <w:rsid w:val="00B5764A"/>
    <w:rsid w:val="00B57B48"/>
    <w:rsid w:val="00B57BA5"/>
    <w:rsid w:val="00B60AC8"/>
    <w:rsid w:val="00B64FB6"/>
    <w:rsid w:val="00B6510A"/>
    <w:rsid w:val="00B6555F"/>
    <w:rsid w:val="00B66079"/>
    <w:rsid w:val="00B66DCC"/>
    <w:rsid w:val="00B66E98"/>
    <w:rsid w:val="00B70DE5"/>
    <w:rsid w:val="00B71A72"/>
    <w:rsid w:val="00B732F9"/>
    <w:rsid w:val="00B75359"/>
    <w:rsid w:val="00B7673C"/>
    <w:rsid w:val="00B77E36"/>
    <w:rsid w:val="00B80E85"/>
    <w:rsid w:val="00B8171F"/>
    <w:rsid w:val="00B823B4"/>
    <w:rsid w:val="00B82F36"/>
    <w:rsid w:val="00B832CF"/>
    <w:rsid w:val="00B83A77"/>
    <w:rsid w:val="00B8642F"/>
    <w:rsid w:val="00B86A66"/>
    <w:rsid w:val="00B90186"/>
    <w:rsid w:val="00B90A0E"/>
    <w:rsid w:val="00B91101"/>
    <w:rsid w:val="00B91D89"/>
    <w:rsid w:val="00B92A10"/>
    <w:rsid w:val="00B9330C"/>
    <w:rsid w:val="00B94322"/>
    <w:rsid w:val="00B97661"/>
    <w:rsid w:val="00B97FE7"/>
    <w:rsid w:val="00BA049D"/>
    <w:rsid w:val="00BA0554"/>
    <w:rsid w:val="00BA112E"/>
    <w:rsid w:val="00BA23F9"/>
    <w:rsid w:val="00BA2478"/>
    <w:rsid w:val="00BA2F7D"/>
    <w:rsid w:val="00BA3413"/>
    <w:rsid w:val="00BA35E9"/>
    <w:rsid w:val="00BA4694"/>
    <w:rsid w:val="00BB07F9"/>
    <w:rsid w:val="00BB1504"/>
    <w:rsid w:val="00BB1D9D"/>
    <w:rsid w:val="00BB2809"/>
    <w:rsid w:val="00BB4743"/>
    <w:rsid w:val="00BB6808"/>
    <w:rsid w:val="00BB78BE"/>
    <w:rsid w:val="00BB7D25"/>
    <w:rsid w:val="00BC012B"/>
    <w:rsid w:val="00BC0C27"/>
    <w:rsid w:val="00BC143D"/>
    <w:rsid w:val="00BC2BE0"/>
    <w:rsid w:val="00BC33AE"/>
    <w:rsid w:val="00BC471A"/>
    <w:rsid w:val="00BC6E0C"/>
    <w:rsid w:val="00BC712E"/>
    <w:rsid w:val="00BC76B8"/>
    <w:rsid w:val="00BC7DBF"/>
    <w:rsid w:val="00BD0BD9"/>
    <w:rsid w:val="00BD1119"/>
    <w:rsid w:val="00BD2040"/>
    <w:rsid w:val="00BD2C7A"/>
    <w:rsid w:val="00BD4B31"/>
    <w:rsid w:val="00BD5B50"/>
    <w:rsid w:val="00BE0F12"/>
    <w:rsid w:val="00BE1D03"/>
    <w:rsid w:val="00BE265F"/>
    <w:rsid w:val="00BE3945"/>
    <w:rsid w:val="00BE3CA9"/>
    <w:rsid w:val="00BE420A"/>
    <w:rsid w:val="00BE4434"/>
    <w:rsid w:val="00BE44AF"/>
    <w:rsid w:val="00BE4BBC"/>
    <w:rsid w:val="00BE4C66"/>
    <w:rsid w:val="00BE5B98"/>
    <w:rsid w:val="00BE5E24"/>
    <w:rsid w:val="00BE5F0C"/>
    <w:rsid w:val="00BE6693"/>
    <w:rsid w:val="00BF0A03"/>
    <w:rsid w:val="00BF1EB4"/>
    <w:rsid w:val="00BF37C7"/>
    <w:rsid w:val="00BF7B54"/>
    <w:rsid w:val="00C007DF"/>
    <w:rsid w:val="00C01081"/>
    <w:rsid w:val="00C0135A"/>
    <w:rsid w:val="00C01BBA"/>
    <w:rsid w:val="00C01EDA"/>
    <w:rsid w:val="00C03103"/>
    <w:rsid w:val="00C05FDF"/>
    <w:rsid w:val="00C0640D"/>
    <w:rsid w:val="00C071C7"/>
    <w:rsid w:val="00C077EF"/>
    <w:rsid w:val="00C1057B"/>
    <w:rsid w:val="00C10992"/>
    <w:rsid w:val="00C1490B"/>
    <w:rsid w:val="00C15B0C"/>
    <w:rsid w:val="00C16CD5"/>
    <w:rsid w:val="00C2102E"/>
    <w:rsid w:val="00C22DFC"/>
    <w:rsid w:val="00C24538"/>
    <w:rsid w:val="00C25286"/>
    <w:rsid w:val="00C253F4"/>
    <w:rsid w:val="00C25B48"/>
    <w:rsid w:val="00C2619F"/>
    <w:rsid w:val="00C268A2"/>
    <w:rsid w:val="00C30330"/>
    <w:rsid w:val="00C3060B"/>
    <w:rsid w:val="00C31FA8"/>
    <w:rsid w:val="00C32AD3"/>
    <w:rsid w:val="00C34F4B"/>
    <w:rsid w:val="00C350F7"/>
    <w:rsid w:val="00C354BA"/>
    <w:rsid w:val="00C356CB"/>
    <w:rsid w:val="00C3606E"/>
    <w:rsid w:val="00C36508"/>
    <w:rsid w:val="00C36C12"/>
    <w:rsid w:val="00C37C6E"/>
    <w:rsid w:val="00C403BF"/>
    <w:rsid w:val="00C41DB0"/>
    <w:rsid w:val="00C425DE"/>
    <w:rsid w:val="00C4319F"/>
    <w:rsid w:val="00C467C5"/>
    <w:rsid w:val="00C47618"/>
    <w:rsid w:val="00C47D6A"/>
    <w:rsid w:val="00C51A68"/>
    <w:rsid w:val="00C533AB"/>
    <w:rsid w:val="00C54FA7"/>
    <w:rsid w:val="00C56CE4"/>
    <w:rsid w:val="00C6152C"/>
    <w:rsid w:val="00C61BF3"/>
    <w:rsid w:val="00C62199"/>
    <w:rsid w:val="00C623F0"/>
    <w:rsid w:val="00C63162"/>
    <w:rsid w:val="00C65C4D"/>
    <w:rsid w:val="00C660E7"/>
    <w:rsid w:val="00C668C6"/>
    <w:rsid w:val="00C669D4"/>
    <w:rsid w:val="00C715A8"/>
    <w:rsid w:val="00C71BAC"/>
    <w:rsid w:val="00C71E95"/>
    <w:rsid w:val="00C72734"/>
    <w:rsid w:val="00C75314"/>
    <w:rsid w:val="00C760B0"/>
    <w:rsid w:val="00C76B98"/>
    <w:rsid w:val="00C82400"/>
    <w:rsid w:val="00C82E28"/>
    <w:rsid w:val="00C83DDA"/>
    <w:rsid w:val="00C84C8C"/>
    <w:rsid w:val="00C85B12"/>
    <w:rsid w:val="00C87204"/>
    <w:rsid w:val="00C8730A"/>
    <w:rsid w:val="00C91345"/>
    <w:rsid w:val="00C919B0"/>
    <w:rsid w:val="00C92CDB"/>
    <w:rsid w:val="00C937CE"/>
    <w:rsid w:val="00C937EF"/>
    <w:rsid w:val="00C9395C"/>
    <w:rsid w:val="00C94D07"/>
    <w:rsid w:val="00C95754"/>
    <w:rsid w:val="00C9666A"/>
    <w:rsid w:val="00CA4044"/>
    <w:rsid w:val="00CA6512"/>
    <w:rsid w:val="00CA74F6"/>
    <w:rsid w:val="00CA7F5A"/>
    <w:rsid w:val="00CB07FC"/>
    <w:rsid w:val="00CB1169"/>
    <w:rsid w:val="00CB120C"/>
    <w:rsid w:val="00CB3C8A"/>
    <w:rsid w:val="00CB4A22"/>
    <w:rsid w:val="00CB500D"/>
    <w:rsid w:val="00CB504E"/>
    <w:rsid w:val="00CB5788"/>
    <w:rsid w:val="00CB635F"/>
    <w:rsid w:val="00CB6664"/>
    <w:rsid w:val="00CC0C0E"/>
    <w:rsid w:val="00CC291C"/>
    <w:rsid w:val="00CC41C5"/>
    <w:rsid w:val="00CC43BC"/>
    <w:rsid w:val="00CC4C52"/>
    <w:rsid w:val="00CC5CC9"/>
    <w:rsid w:val="00CC647B"/>
    <w:rsid w:val="00CD06CE"/>
    <w:rsid w:val="00CD0856"/>
    <w:rsid w:val="00CD0B6D"/>
    <w:rsid w:val="00CD0D9F"/>
    <w:rsid w:val="00CD2004"/>
    <w:rsid w:val="00CD213A"/>
    <w:rsid w:val="00CD2A02"/>
    <w:rsid w:val="00CD5187"/>
    <w:rsid w:val="00CD5DEF"/>
    <w:rsid w:val="00CD6323"/>
    <w:rsid w:val="00CD6F3E"/>
    <w:rsid w:val="00CE2BBB"/>
    <w:rsid w:val="00CE3B28"/>
    <w:rsid w:val="00CE3F1D"/>
    <w:rsid w:val="00CE3F2B"/>
    <w:rsid w:val="00CE592B"/>
    <w:rsid w:val="00CF12E7"/>
    <w:rsid w:val="00CF13A5"/>
    <w:rsid w:val="00CF2318"/>
    <w:rsid w:val="00CF2680"/>
    <w:rsid w:val="00CF2E86"/>
    <w:rsid w:val="00CF543C"/>
    <w:rsid w:val="00CF5CBE"/>
    <w:rsid w:val="00CF652E"/>
    <w:rsid w:val="00CF6BE2"/>
    <w:rsid w:val="00D00D99"/>
    <w:rsid w:val="00D013B1"/>
    <w:rsid w:val="00D024E6"/>
    <w:rsid w:val="00D06196"/>
    <w:rsid w:val="00D07565"/>
    <w:rsid w:val="00D07BBE"/>
    <w:rsid w:val="00D102AC"/>
    <w:rsid w:val="00D10775"/>
    <w:rsid w:val="00D10A5F"/>
    <w:rsid w:val="00D120B6"/>
    <w:rsid w:val="00D128B6"/>
    <w:rsid w:val="00D12D53"/>
    <w:rsid w:val="00D14BFD"/>
    <w:rsid w:val="00D167C0"/>
    <w:rsid w:val="00D16BBF"/>
    <w:rsid w:val="00D16F34"/>
    <w:rsid w:val="00D1700C"/>
    <w:rsid w:val="00D2094A"/>
    <w:rsid w:val="00D22190"/>
    <w:rsid w:val="00D222DF"/>
    <w:rsid w:val="00D228B9"/>
    <w:rsid w:val="00D239D5"/>
    <w:rsid w:val="00D24C3A"/>
    <w:rsid w:val="00D260AD"/>
    <w:rsid w:val="00D271E8"/>
    <w:rsid w:val="00D27CAF"/>
    <w:rsid w:val="00D30394"/>
    <w:rsid w:val="00D30956"/>
    <w:rsid w:val="00D329D8"/>
    <w:rsid w:val="00D33407"/>
    <w:rsid w:val="00D33433"/>
    <w:rsid w:val="00D334C2"/>
    <w:rsid w:val="00D33C8B"/>
    <w:rsid w:val="00D343B6"/>
    <w:rsid w:val="00D35A23"/>
    <w:rsid w:val="00D414BE"/>
    <w:rsid w:val="00D414EB"/>
    <w:rsid w:val="00D41ADA"/>
    <w:rsid w:val="00D43B7A"/>
    <w:rsid w:val="00D4475D"/>
    <w:rsid w:val="00D461A4"/>
    <w:rsid w:val="00D46E50"/>
    <w:rsid w:val="00D52204"/>
    <w:rsid w:val="00D527BC"/>
    <w:rsid w:val="00D529AC"/>
    <w:rsid w:val="00D53697"/>
    <w:rsid w:val="00D545A0"/>
    <w:rsid w:val="00D5544F"/>
    <w:rsid w:val="00D565A0"/>
    <w:rsid w:val="00D6012C"/>
    <w:rsid w:val="00D6039F"/>
    <w:rsid w:val="00D60D49"/>
    <w:rsid w:val="00D61402"/>
    <w:rsid w:val="00D642FA"/>
    <w:rsid w:val="00D64CE3"/>
    <w:rsid w:val="00D65899"/>
    <w:rsid w:val="00D67654"/>
    <w:rsid w:val="00D70695"/>
    <w:rsid w:val="00D7102B"/>
    <w:rsid w:val="00D71849"/>
    <w:rsid w:val="00D725E9"/>
    <w:rsid w:val="00D728FA"/>
    <w:rsid w:val="00D72CB5"/>
    <w:rsid w:val="00D732AD"/>
    <w:rsid w:val="00D73382"/>
    <w:rsid w:val="00D733F9"/>
    <w:rsid w:val="00D75B76"/>
    <w:rsid w:val="00D761F0"/>
    <w:rsid w:val="00D768B7"/>
    <w:rsid w:val="00D76CA3"/>
    <w:rsid w:val="00D77636"/>
    <w:rsid w:val="00D818A5"/>
    <w:rsid w:val="00D81EAF"/>
    <w:rsid w:val="00D84770"/>
    <w:rsid w:val="00D85822"/>
    <w:rsid w:val="00D8587E"/>
    <w:rsid w:val="00D87E73"/>
    <w:rsid w:val="00D904DE"/>
    <w:rsid w:val="00D9226A"/>
    <w:rsid w:val="00D932D5"/>
    <w:rsid w:val="00D95A57"/>
    <w:rsid w:val="00D95EEB"/>
    <w:rsid w:val="00D96122"/>
    <w:rsid w:val="00D96738"/>
    <w:rsid w:val="00DA181A"/>
    <w:rsid w:val="00DA1E3A"/>
    <w:rsid w:val="00DA1F25"/>
    <w:rsid w:val="00DA4EBE"/>
    <w:rsid w:val="00DA516E"/>
    <w:rsid w:val="00DA5E93"/>
    <w:rsid w:val="00DB05F8"/>
    <w:rsid w:val="00DB13CB"/>
    <w:rsid w:val="00DB2927"/>
    <w:rsid w:val="00DB419F"/>
    <w:rsid w:val="00DB4F91"/>
    <w:rsid w:val="00DB5B6A"/>
    <w:rsid w:val="00DB5F14"/>
    <w:rsid w:val="00DB6820"/>
    <w:rsid w:val="00DC01F4"/>
    <w:rsid w:val="00DC0A95"/>
    <w:rsid w:val="00DC18D5"/>
    <w:rsid w:val="00DC1EE8"/>
    <w:rsid w:val="00DC20C1"/>
    <w:rsid w:val="00DC2EDA"/>
    <w:rsid w:val="00DC2FE2"/>
    <w:rsid w:val="00DC305E"/>
    <w:rsid w:val="00DC53FD"/>
    <w:rsid w:val="00DC5485"/>
    <w:rsid w:val="00DC66D3"/>
    <w:rsid w:val="00DD00B3"/>
    <w:rsid w:val="00DD07AA"/>
    <w:rsid w:val="00DD0D87"/>
    <w:rsid w:val="00DD2794"/>
    <w:rsid w:val="00DD32DD"/>
    <w:rsid w:val="00DD46AB"/>
    <w:rsid w:val="00DD5B2D"/>
    <w:rsid w:val="00DD5C74"/>
    <w:rsid w:val="00DE13A1"/>
    <w:rsid w:val="00DE36D4"/>
    <w:rsid w:val="00DE56CF"/>
    <w:rsid w:val="00DE6A8B"/>
    <w:rsid w:val="00DE6AAB"/>
    <w:rsid w:val="00DE6C77"/>
    <w:rsid w:val="00DE6EF9"/>
    <w:rsid w:val="00DE710B"/>
    <w:rsid w:val="00DE71DD"/>
    <w:rsid w:val="00DE7555"/>
    <w:rsid w:val="00DE7665"/>
    <w:rsid w:val="00DE7A45"/>
    <w:rsid w:val="00DE7AAE"/>
    <w:rsid w:val="00DE7B49"/>
    <w:rsid w:val="00DF071E"/>
    <w:rsid w:val="00DF3133"/>
    <w:rsid w:val="00DF3AF9"/>
    <w:rsid w:val="00DF3DAC"/>
    <w:rsid w:val="00DF47BB"/>
    <w:rsid w:val="00DF4D21"/>
    <w:rsid w:val="00DF606D"/>
    <w:rsid w:val="00DF6200"/>
    <w:rsid w:val="00DF65BF"/>
    <w:rsid w:val="00DF6CDF"/>
    <w:rsid w:val="00DF7173"/>
    <w:rsid w:val="00E00185"/>
    <w:rsid w:val="00E00AEE"/>
    <w:rsid w:val="00E00BC0"/>
    <w:rsid w:val="00E01522"/>
    <w:rsid w:val="00E01EB1"/>
    <w:rsid w:val="00E02A12"/>
    <w:rsid w:val="00E03A7A"/>
    <w:rsid w:val="00E04859"/>
    <w:rsid w:val="00E0515E"/>
    <w:rsid w:val="00E05175"/>
    <w:rsid w:val="00E05E1A"/>
    <w:rsid w:val="00E05F2D"/>
    <w:rsid w:val="00E06C82"/>
    <w:rsid w:val="00E074BD"/>
    <w:rsid w:val="00E1124D"/>
    <w:rsid w:val="00E11463"/>
    <w:rsid w:val="00E116A4"/>
    <w:rsid w:val="00E11F42"/>
    <w:rsid w:val="00E14F9F"/>
    <w:rsid w:val="00E16558"/>
    <w:rsid w:val="00E1767E"/>
    <w:rsid w:val="00E17FC9"/>
    <w:rsid w:val="00E20CF6"/>
    <w:rsid w:val="00E230B3"/>
    <w:rsid w:val="00E237DA"/>
    <w:rsid w:val="00E244D5"/>
    <w:rsid w:val="00E25051"/>
    <w:rsid w:val="00E2657D"/>
    <w:rsid w:val="00E276D1"/>
    <w:rsid w:val="00E27B41"/>
    <w:rsid w:val="00E3153E"/>
    <w:rsid w:val="00E3351E"/>
    <w:rsid w:val="00E34CDB"/>
    <w:rsid w:val="00E34E97"/>
    <w:rsid w:val="00E35CE0"/>
    <w:rsid w:val="00E40070"/>
    <w:rsid w:val="00E40808"/>
    <w:rsid w:val="00E41007"/>
    <w:rsid w:val="00E42A9F"/>
    <w:rsid w:val="00E42AC6"/>
    <w:rsid w:val="00E431B5"/>
    <w:rsid w:val="00E475D8"/>
    <w:rsid w:val="00E52136"/>
    <w:rsid w:val="00E52236"/>
    <w:rsid w:val="00E52D41"/>
    <w:rsid w:val="00E54C13"/>
    <w:rsid w:val="00E54CD3"/>
    <w:rsid w:val="00E5607A"/>
    <w:rsid w:val="00E65619"/>
    <w:rsid w:val="00E65B96"/>
    <w:rsid w:val="00E65ECB"/>
    <w:rsid w:val="00E66B2C"/>
    <w:rsid w:val="00E70041"/>
    <w:rsid w:val="00E70097"/>
    <w:rsid w:val="00E72410"/>
    <w:rsid w:val="00E738B7"/>
    <w:rsid w:val="00E73EDB"/>
    <w:rsid w:val="00E7502D"/>
    <w:rsid w:val="00E7568C"/>
    <w:rsid w:val="00E75831"/>
    <w:rsid w:val="00E760AC"/>
    <w:rsid w:val="00E77B2F"/>
    <w:rsid w:val="00E80061"/>
    <w:rsid w:val="00E801AB"/>
    <w:rsid w:val="00E801C0"/>
    <w:rsid w:val="00E80679"/>
    <w:rsid w:val="00E81EEB"/>
    <w:rsid w:val="00E820BF"/>
    <w:rsid w:val="00E82D06"/>
    <w:rsid w:val="00E82E12"/>
    <w:rsid w:val="00E82E40"/>
    <w:rsid w:val="00E83671"/>
    <w:rsid w:val="00E83A72"/>
    <w:rsid w:val="00E843C0"/>
    <w:rsid w:val="00E84969"/>
    <w:rsid w:val="00E857AA"/>
    <w:rsid w:val="00E865E8"/>
    <w:rsid w:val="00E86D3B"/>
    <w:rsid w:val="00E86EC3"/>
    <w:rsid w:val="00E87463"/>
    <w:rsid w:val="00E87480"/>
    <w:rsid w:val="00E87D78"/>
    <w:rsid w:val="00E911A9"/>
    <w:rsid w:val="00E92693"/>
    <w:rsid w:val="00E93567"/>
    <w:rsid w:val="00E93F7A"/>
    <w:rsid w:val="00E958C2"/>
    <w:rsid w:val="00E95B44"/>
    <w:rsid w:val="00E95DF0"/>
    <w:rsid w:val="00E97A27"/>
    <w:rsid w:val="00EA0E14"/>
    <w:rsid w:val="00EA2905"/>
    <w:rsid w:val="00EA4696"/>
    <w:rsid w:val="00EA473A"/>
    <w:rsid w:val="00EA4CC2"/>
    <w:rsid w:val="00EA7C5F"/>
    <w:rsid w:val="00EB2FAE"/>
    <w:rsid w:val="00EB3452"/>
    <w:rsid w:val="00EB3BF0"/>
    <w:rsid w:val="00EB3F2E"/>
    <w:rsid w:val="00EB44FC"/>
    <w:rsid w:val="00EB4ECF"/>
    <w:rsid w:val="00EB64D9"/>
    <w:rsid w:val="00EB6B72"/>
    <w:rsid w:val="00EB7FC9"/>
    <w:rsid w:val="00EC01AE"/>
    <w:rsid w:val="00EC2145"/>
    <w:rsid w:val="00EC2914"/>
    <w:rsid w:val="00EC2E49"/>
    <w:rsid w:val="00EC415C"/>
    <w:rsid w:val="00EC5769"/>
    <w:rsid w:val="00EC57B1"/>
    <w:rsid w:val="00EC5F93"/>
    <w:rsid w:val="00EC63BC"/>
    <w:rsid w:val="00EC65B1"/>
    <w:rsid w:val="00EC6E35"/>
    <w:rsid w:val="00EC7511"/>
    <w:rsid w:val="00EC771C"/>
    <w:rsid w:val="00EC77BA"/>
    <w:rsid w:val="00ED192F"/>
    <w:rsid w:val="00ED3AA4"/>
    <w:rsid w:val="00ED5245"/>
    <w:rsid w:val="00ED5E82"/>
    <w:rsid w:val="00ED6469"/>
    <w:rsid w:val="00ED7FDE"/>
    <w:rsid w:val="00EE077E"/>
    <w:rsid w:val="00EE1725"/>
    <w:rsid w:val="00EE1BB8"/>
    <w:rsid w:val="00EE214E"/>
    <w:rsid w:val="00EE3C4F"/>
    <w:rsid w:val="00EE4791"/>
    <w:rsid w:val="00EE7420"/>
    <w:rsid w:val="00EE7848"/>
    <w:rsid w:val="00EF015B"/>
    <w:rsid w:val="00EF01AA"/>
    <w:rsid w:val="00EF033F"/>
    <w:rsid w:val="00EF2AB7"/>
    <w:rsid w:val="00EF3910"/>
    <w:rsid w:val="00EF3F06"/>
    <w:rsid w:val="00EF407A"/>
    <w:rsid w:val="00EF4117"/>
    <w:rsid w:val="00EF42DD"/>
    <w:rsid w:val="00EF46C1"/>
    <w:rsid w:val="00EF4F61"/>
    <w:rsid w:val="00EF53EE"/>
    <w:rsid w:val="00EF5540"/>
    <w:rsid w:val="00EF63E4"/>
    <w:rsid w:val="00EF6D39"/>
    <w:rsid w:val="00EF7D4E"/>
    <w:rsid w:val="00F0025A"/>
    <w:rsid w:val="00F03761"/>
    <w:rsid w:val="00F0474F"/>
    <w:rsid w:val="00F06DDC"/>
    <w:rsid w:val="00F07E5F"/>
    <w:rsid w:val="00F117BE"/>
    <w:rsid w:val="00F134AD"/>
    <w:rsid w:val="00F13E87"/>
    <w:rsid w:val="00F16746"/>
    <w:rsid w:val="00F21F20"/>
    <w:rsid w:val="00F232F4"/>
    <w:rsid w:val="00F239FB"/>
    <w:rsid w:val="00F23B01"/>
    <w:rsid w:val="00F24178"/>
    <w:rsid w:val="00F26D00"/>
    <w:rsid w:val="00F315DD"/>
    <w:rsid w:val="00F327B1"/>
    <w:rsid w:val="00F32978"/>
    <w:rsid w:val="00F32AC6"/>
    <w:rsid w:val="00F348BC"/>
    <w:rsid w:val="00F34F93"/>
    <w:rsid w:val="00F35202"/>
    <w:rsid w:val="00F3528B"/>
    <w:rsid w:val="00F40404"/>
    <w:rsid w:val="00F41D06"/>
    <w:rsid w:val="00F42790"/>
    <w:rsid w:val="00F43B23"/>
    <w:rsid w:val="00F46290"/>
    <w:rsid w:val="00F46558"/>
    <w:rsid w:val="00F508E8"/>
    <w:rsid w:val="00F5207A"/>
    <w:rsid w:val="00F5282C"/>
    <w:rsid w:val="00F5290F"/>
    <w:rsid w:val="00F52A16"/>
    <w:rsid w:val="00F534DE"/>
    <w:rsid w:val="00F54755"/>
    <w:rsid w:val="00F554B4"/>
    <w:rsid w:val="00F55CE0"/>
    <w:rsid w:val="00F56436"/>
    <w:rsid w:val="00F57089"/>
    <w:rsid w:val="00F57FCB"/>
    <w:rsid w:val="00F60363"/>
    <w:rsid w:val="00F612E3"/>
    <w:rsid w:val="00F61395"/>
    <w:rsid w:val="00F62014"/>
    <w:rsid w:val="00F623FD"/>
    <w:rsid w:val="00F6338D"/>
    <w:rsid w:val="00F7236A"/>
    <w:rsid w:val="00F75401"/>
    <w:rsid w:val="00F76013"/>
    <w:rsid w:val="00F776BC"/>
    <w:rsid w:val="00F77C36"/>
    <w:rsid w:val="00F77DA4"/>
    <w:rsid w:val="00F8148C"/>
    <w:rsid w:val="00F81E20"/>
    <w:rsid w:val="00F84DBD"/>
    <w:rsid w:val="00F84EC1"/>
    <w:rsid w:val="00F85DED"/>
    <w:rsid w:val="00F87854"/>
    <w:rsid w:val="00F907E3"/>
    <w:rsid w:val="00F90A29"/>
    <w:rsid w:val="00F90AC1"/>
    <w:rsid w:val="00F923AE"/>
    <w:rsid w:val="00F93213"/>
    <w:rsid w:val="00F94661"/>
    <w:rsid w:val="00F96908"/>
    <w:rsid w:val="00F97262"/>
    <w:rsid w:val="00F97B69"/>
    <w:rsid w:val="00FA1150"/>
    <w:rsid w:val="00FA1CAE"/>
    <w:rsid w:val="00FA2894"/>
    <w:rsid w:val="00FA35B0"/>
    <w:rsid w:val="00FA369D"/>
    <w:rsid w:val="00FA633E"/>
    <w:rsid w:val="00FB03B6"/>
    <w:rsid w:val="00FB36E0"/>
    <w:rsid w:val="00FB5DFD"/>
    <w:rsid w:val="00FB72B4"/>
    <w:rsid w:val="00FC0338"/>
    <w:rsid w:val="00FC0CCD"/>
    <w:rsid w:val="00FC13F1"/>
    <w:rsid w:val="00FC187F"/>
    <w:rsid w:val="00FC3BBB"/>
    <w:rsid w:val="00FC49D7"/>
    <w:rsid w:val="00FC6FDE"/>
    <w:rsid w:val="00FC72A3"/>
    <w:rsid w:val="00FC7B9D"/>
    <w:rsid w:val="00FC7EA4"/>
    <w:rsid w:val="00FC7F81"/>
    <w:rsid w:val="00FD142E"/>
    <w:rsid w:val="00FD19B3"/>
    <w:rsid w:val="00FD2F15"/>
    <w:rsid w:val="00FD3A1A"/>
    <w:rsid w:val="00FD3B02"/>
    <w:rsid w:val="00FD48E5"/>
    <w:rsid w:val="00FD4C94"/>
    <w:rsid w:val="00FD62B3"/>
    <w:rsid w:val="00FD6B9B"/>
    <w:rsid w:val="00FD6E06"/>
    <w:rsid w:val="00FE1E57"/>
    <w:rsid w:val="00FE62EB"/>
    <w:rsid w:val="00FE66DF"/>
    <w:rsid w:val="00FE7DB3"/>
    <w:rsid w:val="00FF0B9A"/>
    <w:rsid w:val="00FF0DB3"/>
    <w:rsid w:val="00FF113D"/>
    <w:rsid w:val="00FF4263"/>
    <w:rsid w:val="00FF5F51"/>
    <w:rsid w:val="00FF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68"/>
    <w:pPr>
      <w:ind w:left="720"/>
      <w:contextualSpacing/>
    </w:pPr>
  </w:style>
  <w:style w:type="paragraph" w:styleId="NormalWeb">
    <w:name w:val="Normal (Web)"/>
    <w:basedOn w:val="Normal"/>
    <w:uiPriority w:val="99"/>
    <w:semiHidden/>
    <w:unhideWhenUsed/>
    <w:rsid w:val="00D60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AD"/>
    <w:rPr>
      <w:rFonts w:ascii="Tahoma" w:hAnsi="Tahoma" w:cs="Tahoma"/>
      <w:sz w:val="16"/>
      <w:szCs w:val="16"/>
    </w:rPr>
  </w:style>
  <w:style w:type="character" w:styleId="Hyperlink">
    <w:name w:val="Hyperlink"/>
    <w:basedOn w:val="DefaultParagraphFont"/>
    <w:uiPriority w:val="99"/>
    <w:semiHidden/>
    <w:unhideWhenUsed/>
    <w:rsid w:val="00DC01F4"/>
    <w:rPr>
      <w:color w:val="0000FF"/>
      <w:u w:val="single"/>
    </w:rPr>
  </w:style>
  <w:style w:type="table" w:styleId="TableGrid">
    <w:name w:val="Table Grid"/>
    <w:basedOn w:val="TableNormal"/>
    <w:uiPriority w:val="59"/>
    <w:rsid w:val="00FF5F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68"/>
    <w:pPr>
      <w:ind w:left="720"/>
      <w:contextualSpacing/>
    </w:pPr>
  </w:style>
  <w:style w:type="paragraph" w:styleId="NormalWeb">
    <w:name w:val="Normal (Web)"/>
    <w:basedOn w:val="Normal"/>
    <w:uiPriority w:val="99"/>
    <w:semiHidden/>
    <w:unhideWhenUsed/>
    <w:rsid w:val="00D60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4AD"/>
    <w:rPr>
      <w:rFonts w:ascii="Tahoma" w:hAnsi="Tahoma" w:cs="Tahoma"/>
      <w:sz w:val="16"/>
      <w:szCs w:val="16"/>
    </w:rPr>
  </w:style>
  <w:style w:type="character" w:styleId="Hyperlink">
    <w:name w:val="Hyperlink"/>
    <w:basedOn w:val="DefaultParagraphFont"/>
    <w:uiPriority w:val="99"/>
    <w:semiHidden/>
    <w:unhideWhenUsed/>
    <w:rsid w:val="00DC01F4"/>
    <w:rPr>
      <w:color w:val="0000FF"/>
      <w:u w:val="single"/>
    </w:rPr>
  </w:style>
  <w:style w:type="table" w:styleId="TableGrid">
    <w:name w:val="Table Grid"/>
    <w:basedOn w:val="TableNormal"/>
    <w:uiPriority w:val="59"/>
    <w:rsid w:val="00FF5F5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087">
      <w:bodyDiv w:val="1"/>
      <w:marLeft w:val="0"/>
      <w:marRight w:val="0"/>
      <w:marTop w:val="0"/>
      <w:marBottom w:val="0"/>
      <w:divBdr>
        <w:top w:val="none" w:sz="0" w:space="0" w:color="auto"/>
        <w:left w:val="none" w:sz="0" w:space="0" w:color="auto"/>
        <w:bottom w:val="none" w:sz="0" w:space="0" w:color="auto"/>
        <w:right w:val="none" w:sz="0" w:space="0" w:color="auto"/>
      </w:divBdr>
    </w:div>
    <w:div w:id="1461416265">
      <w:bodyDiv w:val="1"/>
      <w:marLeft w:val="0"/>
      <w:marRight w:val="0"/>
      <w:marTop w:val="0"/>
      <w:marBottom w:val="0"/>
      <w:divBdr>
        <w:top w:val="none" w:sz="0" w:space="0" w:color="auto"/>
        <w:left w:val="none" w:sz="0" w:space="0" w:color="auto"/>
        <w:bottom w:val="none" w:sz="0" w:space="0" w:color="auto"/>
        <w:right w:val="none" w:sz="0" w:space="0" w:color="auto"/>
      </w:divBdr>
    </w:div>
    <w:div w:id="15912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eele.learningpool.com/course/view.php?id=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gga05</cp:lastModifiedBy>
  <cp:revision>67</cp:revision>
  <cp:lastPrinted>2015-07-09T10:40:00Z</cp:lastPrinted>
  <dcterms:created xsi:type="dcterms:W3CDTF">2015-07-09T10:41:00Z</dcterms:created>
  <dcterms:modified xsi:type="dcterms:W3CDTF">2015-07-13T13:40:00Z</dcterms:modified>
</cp:coreProperties>
</file>